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521BF" w14:textId="505A12CF" w:rsidR="001F3986" w:rsidRPr="00F26928" w:rsidRDefault="00AB505A" w:rsidP="00D940D9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proofErr w:type="spellStart"/>
      <w:r w:rsidRPr="00712FE1">
        <w:rPr>
          <w:rFonts w:ascii="Century Gothic" w:hAnsi="Century Gothic" w:cs="Tahoma"/>
          <w:b/>
          <w:color w:val="887634"/>
          <w:sz w:val="28"/>
          <w:szCs w:val="28"/>
        </w:rPr>
        <w:t>Lexxus</w:t>
      </w:r>
      <w:proofErr w:type="spellEnd"/>
      <w:r w:rsidRPr="00712FE1">
        <w:rPr>
          <w:rFonts w:ascii="Century Gothic" w:hAnsi="Century Gothic" w:cs="Tahoma"/>
          <w:b/>
          <w:color w:val="887634"/>
          <w:sz w:val="28"/>
          <w:szCs w:val="28"/>
        </w:rPr>
        <w:t xml:space="preserve"> </w:t>
      </w:r>
      <w:proofErr w:type="spellStart"/>
      <w:r w:rsidRPr="00712FE1">
        <w:rPr>
          <w:rFonts w:ascii="Century Gothic" w:hAnsi="Century Gothic" w:cs="Tahoma"/>
          <w:b/>
          <w:color w:val="887634"/>
          <w:sz w:val="28"/>
          <w:szCs w:val="28"/>
        </w:rPr>
        <w:t>Norton</w:t>
      </w:r>
      <w:proofErr w:type="spellEnd"/>
      <w:r w:rsidR="000163F0" w:rsidRPr="00712FE1">
        <w:rPr>
          <w:rFonts w:ascii="Century Gothic" w:hAnsi="Century Gothic" w:cs="Tahoma"/>
          <w:b/>
          <w:color w:val="887634"/>
          <w:sz w:val="28"/>
          <w:szCs w:val="28"/>
        </w:rPr>
        <w:t>:</w:t>
      </w:r>
      <w:r w:rsidR="00A72E3F" w:rsidRPr="00712FE1">
        <w:rPr>
          <w:rFonts w:ascii="Century Gothic" w:hAnsi="Century Gothic" w:cs="Tahoma"/>
          <w:b/>
          <w:color w:val="887634"/>
          <w:sz w:val="28"/>
          <w:szCs w:val="28"/>
        </w:rPr>
        <w:t xml:space="preserve"> </w:t>
      </w:r>
      <w:r w:rsidR="00F26928" w:rsidRPr="00712FE1">
        <w:rPr>
          <w:rFonts w:ascii="Century Gothic" w:hAnsi="Century Gothic" w:cs="Tahoma"/>
          <w:b/>
          <w:color w:val="887634"/>
          <w:sz w:val="28"/>
          <w:szCs w:val="28"/>
        </w:rPr>
        <w:t>Zájem o luxusní nemovitosti ve světě slábne, poptávka</w:t>
      </w:r>
      <w:r w:rsidR="00F26928">
        <w:rPr>
          <w:rFonts w:ascii="Century Gothic" w:hAnsi="Century Gothic" w:cs="Tahoma"/>
          <w:b/>
          <w:color w:val="887634"/>
          <w:sz w:val="28"/>
          <w:szCs w:val="28"/>
        </w:rPr>
        <w:t xml:space="preserve"> v České republice je stále vysoká</w:t>
      </w:r>
    </w:p>
    <w:p w14:paraId="5ACC93AC" w14:textId="758612AE" w:rsidR="001F3986" w:rsidRPr="001F3986" w:rsidRDefault="001F3986" w:rsidP="001F3986">
      <w:pPr>
        <w:spacing w:after="0" w:line="320" w:lineRule="atLeast"/>
        <w:ind w:left="-567" w:right="-709"/>
        <w:rPr>
          <w:rFonts w:ascii="Century Gothic" w:hAnsi="Century Gothic" w:cs="Tahoma"/>
          <w:b/>
          <w:color w:val="887634"/>
          <w:sz w:val="14"/>
          <w:szCs w:val="28"/>
        </w:rPr>
      </w:pPr>
    </w:p>
    <w:p w14:paraId="754A0DEA" w14:textId="5C99B808" w:rsidR="004513E2" w:rsidRPr="004513E2" w:rsidRDefault="004513E2" w:rsidP="001F3986">
      <w:pPr>
        <w:spacing w:after="0" w:line="320" w:lineRule="atLeast"/>
        <w:ind w:left="-567" w:right="-709"/>
        <w:rPr>
          <w:rFonts w:ascii="Century Gothic" w:hAnsi="Century Gothic" w:cs="Tahoma"/>
          <w:b/>
          <w:color w:val="887634"/>
          <w:sz w:val="28"/>
          <w:szCs w:val="28"/>
        </w:rPr>
      </w:pPr>
      <w:r w:rsidRPr="00550E21">
        <w:rPr>
          <w:rFonts w:ascii="Century Gothic" w:hAnsi="Century Gothic"/>
        </w:rPr>
        <w:t xml:space="preserve">Praha, </w:t>
      </w:r>
      <w:r w:rsidR="00A13C56">
        <w:rPr>
          <w:rFonts w:ascii="Century Gothic" w:hAnsi="Century Gothic"/>
        </w:rPr>
        <w:t>18</w:t>
      </w:r>
      <w:r w:rsidR="00F26928">
        <w:rPr>
          <w:rFonts w:ascii="Century Gothic" w:hAnsi="Century Gothic"/>
        </w:rPr>
        <w:t>. května 2017</w:t>
      </w:r>
    </w:p>
    <w:p w14:paraId="3504C172" w14:textId="77777777" w:rsidR="00A55CE2" w:rsidRDefault="00A55CE2" w:rsidP="001F3986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Tahoma"/>
          <w:b/>
        </w:rPr>
      </w:pPr>
    </w:p>
    <w:p w14:paraId="6EF42378" w14:textId="220497D0" w:rsidR="00817ED6" w:rsidRDefault="00E336AC" w:rsidP="00A005BC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Tahoma"/>
          <w:b/>
        </w:rPr>
      </w:pPr>
      <w:r>
        <w:rPr>
          <w:rFonts w:ascii="Century Gothic" w:eastAsia="Times New Roman" w:hAnsi="Century Gothic" w:cs="Tahoma"/>
          <w:b/>
        </w:rPr>
        <w:t>N</w:t>
      </w:r>
      <w:r w:rsidR="00775485">
        <w:rPr>
          <w:rFonts w:ascii="Century Gothic" w:eastAsia="Times New Roman" w:hAnsi="Century Gothic" w:cs="Tahoma"/>
          <w:b/>
        </w:rPr>
        <w:t xml:space="preserve">a pražském rezidenčním trhu </w:t>
      </w:r>
      <w:r>
        <w:rPr>
          <w:rFonts w:ascii="Century Gothic" w:eastAsia="Times New Roman" w:hAnsi="Century Gothic" w:cs="Tahoma"/>
          <w:b/>
        </w:rPr>
        <w:t xml:space="preserve">přetrvává </w:t>
      </w:r>
      <w:r w:rsidR="00775485">
        <w:rPr>
          <w:rFonts w:ascii="Century Gothic" w:eastAsia="Times New Roman" w:hAnsi="Century Gothic" w:cs="Tahoma"/>
          <w:b/>
        </w:rPr>
        <w:t>vysoká</w:t>
      </w:r>
      <w:r w:rsidR="008B74EC">
        <w:rPr>
          <w:rFonts w:ascii="Century Gothic" w:eastAsia="Times New Roman" w:hAnsi="Century Gothic" w:cs="Tahoma"/>
          <w:b/>
        </w:rPr>
        <w:t xml:space="preserve"> poptávka po bytech </w:t>
      </w:r>
      <w:r w:rsidR="00803667">
        <w:rPr>
          <w:rFonts w:ascii="Century Gothic" w:eastAsia="Times New Roman" w:hAnsi="Century Gothic" w:cs="Tahoma"/>
          <w:b/>
        </w:rPr>
        <w:t xml:space="preserve">nebo vilách </w:t>
      </w:r>
      <w:r w:rsidR="008B74EC">
        <w:rPr>
          <w:rFonts w:ascii="Century Gothic" w:eastAsia="Times New Roman" w:hAnsi="Century Gothic" w:cs="Tahoma"/>
          <w:b/>
        </w:rPr>
        <w:t>v luxusním segmentu</w:t>
      </w:r>
      <w:r w:rsidR="00D852FB">
        <w:rPr>
          <w:rFonts w:ascii="Century Gothic" w:eastAsia="Times New Roman" w:hAnsi="Century Gothic" w:cs="Tahoma"/>
          <w:b/>
        </w:rPr>
        <w:t xml:space="preserve">. </w:t>
      </w:r>
      <w:r w:rsidR="00AD4F9E">
        <w:rPr>
          <w:rFonts w:ascii="Century Gothic" w:eastAsia="Times New Roman" w:hAnsi="Century Gothic" w:cs="Tahoma"/>
          <w:b/>
        </w:rPr>
        <w:t xml:space="preserve">Aktuální </w:t>
      </w:r>
      <w:r w:rsidR="00A005BC">
        <w:rPr>
          <w:rFonts w:ascii="Century Gothic" w:eastAsia="Times New Roman" w:hAnsi="Century Gothic" w:cs="Tahoma"/>
          <w:b/>
        </w:rPr>
        <w:t>stav</w:t>
      </w:r>
      <w:r w:rsidR="00AD4F9E">
        <w:rPr>
          <w:rFonts w:ascii="Century Gothic" w:eastAsia="Times New Roman" w:hAnsi="Century Gothic" w:cs="Tahoma"/>
          <w:b/>
        </w:rPr>
        <w:t xml:space="preserve"> realitního trhu jako celku – neúměrně dlouhý povolovací proces</w:t>
      </w:r>
      <w:r w:rsidR="00803667">
        <w:rPr>
          <w:rFonts w:ascii="Century Gothic" w:eastAsia="Times New Roman" w:hAnsi="Century Gothic" w:cs="Tahoma"/>
          <w:b/>
        </w:rPr>
        <w:t xml:space="preserve"> nových projektů</w:t>
      </w:r>
      <w:r w:rsidR="00AD4F9E">
        <w:rPr>
          <w:rFonts w:ascii="Century Gothic" w:eastAsia="Times New Roman" w:hAnsi="Century Gothic" w:cs="Tahoma"/>
          <w:b/>
        </w:rPr>
        <w:t xml:space="preserve"> či velký zájem investorů - zároveň motivuje růst jejich cen. </w:t>
      </w:r>
      <w:r w:rsidR="00F42505">
        <w:rPr>
          <w:rFonts w:ascii="Century Gothic" w:eastAsia="Times New Roman" w:hAnsi="Century Gothic" w:cs="Tahoma"/>
          <w:b/>
        </w:rPr>
        <w:t>R</w:t>
      </w:r>
      <w:r w:rsidR="00AC01BD">
        <w:rPr>
          <w:rFonts w:ascii="Century Gothic" w:eastAsia="Times New Roman" w:hAnsi="Century Gothic" w:cs="Tahoma"/>
          <w:b/>
        </w:rPr>
        <w:t>ealitní kancelář</w:t>
      </w:r>
      <w:r>
        <w:rPr>
          <w:rFonts w:ascii="Century Gothic" w:eastAsia="Times New Roman" w:hAnsi="Century Gothic" w:cs="Tahoma"/>
          <w:b/>
        </w:rPr>
        <w:t xml:space="preserve"> </w:t>
      </w:r>
      <w:proofErr w:type="spellStart"/>
      <w:r>
        <w:rPr>
          <w:rFonts w:ascii="Century Gothic" w:eastAsia="Times New Roman" w:hAnsi="Century Gothic" w:cs="Tahoma"/>
          <w:b/>
        </w:rPr>
        <w:t>Lexxus</w:t>
      </w:r>
      <w:proofErr w:type="spellEnd"/>
      <w:r>
        <w:rPr>
          <w:rFonts w:ascii="Century Gothic" w:eastAsia="Times New Roman" w:hAnsi="Century Gothic" w:cs="Tahoma"/>
          <w:b/>
        </w:rPr>
        <w:t xml:space="preserve"> </w:t>
      </w:r>
      <w:proofErr w:type="spellStart"/>
      <w:r>
        <w:rPr>
          <w:rFonts w:ascii="Century Gothic" w:eastAsia="Times New Roman" w:hAnsi="Century Gothic" w:cs="Tahoma"/>
          <w:b/>
        </w:rPr>
        <w:t>Norton</w:t>
      </w:r>
      <w:proofErr w:type="spellEnd"/>
      <w:r w:rsidR="00874552">
        <w:rPr>
          <w:rFonts w:ascii="Century Gothic" w:eastAsia="Times New Roman" w:hAnsi="Century Gothic" w:cs="Tahoma"/>
          <w:b/>
        </w:rPr>
        <w:t xml:space="preserve"> zaznamenala prudké zdraže</w:t>
      </w:r>
      <w:r w:rsidR="00AD4F9E">
        <w:rPr>
          <w:rFonts w:ascii="Century Gothic" w:eastAsia="Times New Roman" w:hAnsi="Century Gothic" w:cs="Tahoma"/>
          <w:b/>
        </w:rPr>
        <w:t>ní</w:t>
      </w:r>
      <w:r w:rsidR="00F42505">
        <w:rPr>
          <w:rFonts w:ascii="Century Gothic" w:eastAsia="Times New Roman" w:hAnsi="Century Gothic" w:cs="Tahoma"/>
          <w:b/>
        </w:rPr>
        <w:t xml:space="preserve"> </w:t>
      </w:r>
      <w:r w:rsidR="00AC01BD">
        <w:rPr>
          <w:rFonts w:ascii="Century Gothic" w:eastAsia="Times New Roman" w:hAnsi="Century Gothic" w:cs="Tahoma"/>
          <w:b/>
        </w:rPr>
        <w:t>zejména u nemovitostí v nejprestižnějších lokalitách v centru metropole, kde</w:t>
      </w:r>
      <w:r w:rsidR="000C6662">
        <w:rPr>
          <w:rFonts w:ascii="Century Gothic" w:eastAsia="Times New Roman" w:hAnsi="Century Gothic" w:cs="Tahoma"/>
          <w:b/>
        </w:rPr>
        <w:t xml:space="preserve"> nabídkové</w:t>
      </w:r>
      <w:r w:rsidR="00AC01BD">
        <w:rPr>
          <w:rFonts w:ascii="Century Gothic" w:eastAsia="Times New Roman" w:hAnsi="Century Gothic" w:cs="Tahoma"/>
          <w:b/>
        </w:rPr>
        <w:t xml:space="preserve"> ceny</w:t>
      </w:r>
      <w:r w:rsidR="00E0130C">
        <w:rPr>
          <w:rFonts w:ascii="Century Gothic" w:eastAsia="Times New Roman" w:hAnsi="Century Gothic" w:cs="Tahoma"/>
          <w:b/>
        </w:rPr>
        <w:t xml:space="preserve"> </w:t>
      </w:r>
      <w:r w:rsidR="00817ED6">
        <w:rPr>
          <w:rFonts w:ascii="Century Gothic" w:eastAsia="Times New Roman" w:hAnsi="Century Gothic" w:cs="Tahoma"/>
          <w:b/>
        </w:rPr>
        <w:t>dosáhly hranice</w:t>
      </w:r>
      <w:r w:rsidR="00641AFE">
        <w:rPr>
          <w:rFonts w:ascii="Century Gothic" w:eastAsia="Times New Roman" w:hAnsi="Century Gothic" w:cs="Tahoma"/>
          <w:b/>
        </w:rPr>
        <w:t xml:space="preserve"> </w:t>
      </w:r>
      <w:r>
        <w:rPr>
          <w:rFonts w:ascii="Century Gothic" w:eastAsia="Times New Roman" w:hAnsi="Century Gothic" w:cs="Tahoma"/>
          <w:b/>
        </w:rPr>
        <w:t xml:space="preserve">400 </w:t>
      </w:r>
      <w:r w:rsidR="00D04197">
        <w:rPr>
          <w:rFonts w:ascii="Century Gothic" w:eastAsia="Times New Roman" w:hAnsi="Century Gothic" w:cs="Tahoma"/>
          <w:b/>
        </w:rPr>
        <w:t>tis. Kč/</w:t>
      </w:r>
      <w:r>
        <w:rPr>
          <w:rFonts w:ascii="Century Gothic" w:eastAsia="Times New Roman" w:hAnsi="Century Gothic" w:cs="Tahoma"/>
          <w:b/>
        </w:rPr>
        <w:t>m</w:t>
      </w:r>
      <w:r w:rsidRPr="00E336AC">
        <w:rPr>
          <w:rFonts w:ascii="Century Gothic" w:eastAsia="Times New Roman" w:hAnsi="Century Gothic" w:cs="Tahoma"/>
          <w:b/>
          <w:vertAlign w:val="superscript"/>
        </w:rPr>
        <w:t>2</w:t>
      </w:r>
      <w:r w:rsidR="00DF7F46">
        <w:rPr>
          <w:rFonts w:ascii="Century Gothic" w:eastAsia="Times New Roman" w:hAnsi="Century Gothic" w:cs="Tahoma"/>
          <w:b/>
        </w:rPr>
        <w:t>.</w:t>
      </w:r>
      <w:r w:rsidR="00A005BC">
        <w:rPr>
          <w:rFonts w:ascii="Century Gothic" w:eastAsia="Times New Roman" w:hAnsi="Century Gothic" w:cs="Tahoma"/>
          <w:b/>
        </w:rPr>
        <w:t xml:space="preserve"> </w:t>
      </w:r>
      <w:r w:rsidR="001B020F">
        <w:rPr>
          <w:rFonts w:ascii="Century Gothic" w:eastAsia="Times New Roman" w:hAnsi="Century Gothic" w:cs="Tahoma"/>
          <w:b/>
        </w:rPr>
        <w:t>Přes nastíněný</w:t>
      </w:r>
      <w:r w:rsidR="00A005BC">
        <w:rPr>
          <w:rFonts w:ascii="Century Gothic" w:eastAsia="Times New Roman" w:hAnsi="Century Gothic" w:cs="Tahoma"/>
          <w:b/>
        </w:rPr>
        <w:t xml:space="preserve"> vývoj</w:t>
      </w:r>
      <w:r w:rsidR="00817ED6">
        <w:rPr>
          <w:rFonts w:ascii="Century Gothic" w:eastAsia="Times New Roman" w:hAnsi="Century Gothic" w:cs="Tahoma"/>
          <w:b/>
        </w:rPr>
        <w:t xml:space="preserve"> se dá očekávat, že koupě luxusní nemovitosti zůstane nadále vhodnou investiční příležitostí. </w:t>
      </w:r>
    </w:p>
    <w:p w14:paraId="3AC1935D" w14:textId="77777777" w:rsidR="00ED2C5A" w:rsidRDefault="00ED2C5A" w:rsidP="00ED2C5A">
      <w:pPr>
        <w:spacing w:after="0" w:line="320" w:lineRule="atLeast"/>
        <w:ind w:right="-567"/>
        <w:jc w:val="both"/>
        <w:rPr>
          <w:rFonts w:ascii="Century Gothic" w:eastAsia="Times New Roman" w:hAnsi="Century Gothic" w:cs="Tahoma"/>
        </w:rPr>
      </w:pPr>
    </w:p>
    <w:p w14:paraId="0B93ED86" w14:textId="443FC8C8" w:rsidR="009754BB" w:rsidRDefault="009754BB" w:rsidP="001B020F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Tahoma"/>
          <w:b/>
        </w:rPr>
      </w:pPr>
      <w:r>
        <w:rPr>
          <w:rFonts w:ascii="Century Gothic" w:eastAsia="Times New Roman" w:hAnsi="Century Gothic" w:cs="Tahoma"/>
          <w:b/>
        </w:rPr>
        <w:t>Praha je rájem milovníků luxusního bydlení</w:t>
      </w:r>
    </w:p>
    <w:p w14:paraId="5FDF6F6F" w14:textId="23CF4853" w:rsidR="00353163" w:rsidRDefault="00A8617B" w:rsidP="009754BB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DFE20F1" wp14:editId="5DEFC422">
            <wp:simplePos x="0" y="0"/>
            <wp:positionH relativeFrom="margin">
              <wp:posOffset>-328295</wp:posOffset>
            </wp:positionH>
            <wp:positionV relativeFrom="margin">
              <wp:posOffset>3883025</wp:posOffset>
            </wp:positionV>
            <wp:extent cx="1840230" cy="1552575"/>
            <wp:effectExtent l="0" t="0" r="7620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xxus Norton_U Rajské zahrady 18_exteriér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ED6" w:rsidRPr="00817ED6">
        <w:rPr>
          <w:rFonts w:ascii="Century Gothic" w:eastAsia="Times New Roman" w:hAnsi="Century Gothic" w:cs="Tahoma"/>
        </w:rPr>
        <w:t>Luxus</w:t>
      </w:r>
      <w:r w:rsidR="00817ED6">
        <w:rPr>
          <w:rFonts w:ascii="Century Gothic" w:eastAsia="Times New Roman" w:hAnsi="Century Gothic" w:cs="Tahoma"/>
        </w:rPr>
        <w:t xml:space="preserve">ní segment je specifická část realitního trhu, která je složená </w:t>
      </w:r>
      <w:r w:rsidR="003901C7">
        <w:rPr>
          <w:rFonts w:ascii="Century Gothic" w:eastAsia="Times New Roman" w:hAnsi="Century Gothic" w:cs="Tahoma"/>
        </w:rPr>
        <w:t xml:space="preserve">především </w:t>
      </w:r>
      <w:r w:rsidR="00817ED6">
        <w:rPr>
          <w:rFonts w:ascii="Century Gothic" w:eastAsia="Times New Roman" w:hAnsi="Century Gothic" w:cs="Tahoma"/>
        </w:rPr>
        <w:t xml:space="preserve">z jednotlivých </w:t>
      </w:r>
      <w:r w:rsidR="00143CDB">
        <w:rPr>
          <w:rFonts w:ascii="Century Gothic" w:eastAsia="Times New Roman" w:hAnsi="Century Gothic" w:cs="Tahoma"/>
        </w:rPr>
        <w:t xml:space="preserve">výjimečných nemovitostí nacházejících se </w:t>
      </w:r>
      <w:r w:rsidR="00143CDB" w:rsidRPr="009754BB">
        <w:rPr>
          <w:rFonts w:ascii="Century Gothic" w:eastAsia="Times New Roman" w:hAnsi="Century Gothic" w:cs="Tahoma"/>
        </w:rPr>
        <w:t>v prestižních lokalitách. Ty</w:t>
      </w:r>
      <w:r w:rsidR="00143CDB">
        <w:rPr>
          <w:rFonts w:ascii="Century Gothic" w:eastAsia="Times New Roman" w:hAnsi="Century Gothic" w:cs="Tahoma"/>
        </w:rPr>
        <w:t xml:space="preserve"> z větší části kopírují historické rezidenční čtvrti, zas</w:t>
      </w:r>
      <w:r w:rsidR="00E93306">
        <w:rPr>
          <w:rFonts w:ascii="Century Gothic" w:eastAsia="Times New Roman" w:hAnsi="Century Gothic" w:cs="Tahoma"/>
        </w:rPr>
        <w:t>ahují však také do zcela nových - dříve většinou průmyslových -</w:t>
      </w:r>
      <w:r w:rsidR="00143CDB">
        <w:rPr>
          <w:rFonts w:ascii="Century Gothic" w:eastAsia="Times New Roman" w:hAnsi="Century Gothic" w:cs="Tahoma"/>
        </w:rPr>
        <w:t xml:space="preserve"> oblastí: </w:t>
      </w:r>
      <w:r w:rsidR="00143CDB" w:rsidRPr="00AD713F">
        <w:rPr>
          <w:rFonts w:ascii="Century Gothic" w:eastAsia="Times New Roman" w:hAnsi="Century Gothic" w:cs="Tahoma"/>
        </w:rPr>
        <w:t>„</w:t>
      </w:r>
      <w:r w:rsidR="002772B3">
        <w:rPr>
          <w:rFonts w:ascii="Century Gothic" w:eastAsia="Times New Roman" w:hAnsi="Century Gothic" w:cs="Tahoma"/>
        </w:rPr>
        <w:t>Luxusní rezidenční trh se rozvíjí především v</w:t>
      </w:r>
      <w:r w:rsidR="00F20E1C">
        <w:rPr>
          <w:rFonts w:ascii="Century Gothic" w:eastAsia="Times New Roman" w:hAnsi="Century Gothic" w:cs="Tahoma"/>
        </w:rPr>
        <w:t> </w:t>
      </w:r>
      <w:r w:rsidR="002772B3">
        <w:rPr>
          <w:rFonts w:ascii="Century Gothic" w:eastAsia="Times New Roman" w:hAnsi="Century Gothic" w:cs="Tahoma"/>
        </w:rPr>
        <w:t>Praze</w:t>
      </w:r>
      <w:r w:rsidR="00F20E1C">
        <w:rPr>
          <w:rFonts w:ascii="Century Gothic" w:eastAsia="Times New Roman" w:hAnsi="Century Gothic" w:cs="Tahoma"/>
        </w:rPr>
        <w:t xml:space="preserve"> a jejím bezprostředním okolí</w:t>
      </w:r>
      <w:r w:rsidR="00353163">
        <w:rPr>
          <w:rFonts w:ascii="Century Gothic" w:eastAsia="Times New Roman" w:hAnsi="Century Gothic" w:cs="Tahoma"/>
        </w:rPr>
        <w:t xml:space="preserve">. </w:t>
      </w:r>
      <w:r w:rsidR="00143CDB">
        <w:rPr>
          <w:rFonts w:ascii="Century Gothic" w:eastAsia="Times New Roman" w:hAnsi="Century Gothic" w:cs="Tahoma"/>
        </w:rPr>
        <w:t>Nejdražší bytové lokality se nachází v historickém centru</w:t>
      </w:r>
      <w:r w:rsidR="002772B3">
        <w:rPr>
          <w:rFonts w:ascii="Century Gothic" w:eastAsia="Times New Roman" w:hAnsi="Century Gothic" w:cs="Tahoma"/>
        </w:rPr>
        <w:t xml:space="preserve"> metropole</w:t>
      </w:r>
      <w:r w:rsidR="00143CDB">
        <w:rPr>
          <w:rFonts w:ascii="Century Gothic" w:eastAsia="Times New Roman" w:hAnsi="Century Gothic" w:cs="Tahoma"/>
        </w:rPr>
        <w:t xml:space="preserve"> po obou stranách Vltavy – Staré Město, Josefov, Malá </w:t>
      </w:r>
      <w:r w:rsidR="00930977">
        <w:rPr>
          <w:rFonts w:ascii="Century Gothic" w:eastAsia="Times New Roman" w:hAnsi="Century Gothic" w:cs="Tahoma"/>
        </w:rPr>
        <w:t>Strana a </w:t>
      </w:r>
      <w:r w:rsidR="00143CDB">
        <w:rPr>
          <w:rFonts w:ascii="Century Gothic" w:eastAsia="Times New Roman" w:hAnsi="Century Gothic" w:cs="Tahoma"/>
        </w:rPr>
        <w:t>Hradčany – či v tradiční diplomatické čtvrti Bubenči. Velmi oblíbené jsou rovněž Vinohrady s</w:t>
      </w:r>
      <w:r w:rsidR="00930977">
        <w:rPr>
          <w:rFonts w:ascii="Century Gothic" w:eastAsia="Times New Roman" w:hAnsi="Century Gothic" w:cs="Tahoma"/>
        </w:rPr>
        <w:t xml:space="preserve">e </w:t>
      </w:r>
      <w:r w:rsidR="00143CDB">
        <w:rPr>
          <w:rFonts w:ascii="Century Gothic" w:eastAsia="Times New Roman" w:hAnsi="Century Gothic" w:cs="Tahoma"/>
        </w:rPr>
        <w:t>secesní bytovou zástavbou, vilové oblasti Dejvic (Hanspaulka), Střešovic (Ořechovka), Troji, Smíchova (Hřebenky</w:t>
      </w:r>
      <w:r w:rsidR="002772B3">
        <w:rPr>
          <w:rFonts w:ascii="Century Gothic" w:eastAsia="Times New Roman" w:hAnsi="Century Gothic" w:cs="Tahoma"/>
        </w:rPr>
        <w:t xml:space="preserve">) nebo dřívější průmyslové </w:t>
      </w:r>
      <w:r w:rsidR="00353163">
        <w:rPr>
          <w:rFonts w:ascii="Century Gothic" w:eastAsia="Times New Roman" w:hAnsi="Century Gothic" w:cs="Tahoma"/>
        </w:rPr>
        <w:t>oblasti</w:t>
      </w:r>
      <w:r w:rsidR="002772B3">
        <w:rPr>
          <w:rFonts w:ascii="Century Gothic" w:eastAsia="Times New Roman" w:hAnsi="Century Gothic" w:cs="Tahoma"/>
        </w:rPr>
        <w:t xml:space="preserve"> Holešovic se zcela novými projekty. Zajímavým fenoménem j</w:t>
      </w:r>
      <w:r w:rsidR="00353163">
        <w:rPr>
          <w:rFonts w:ascii="Century Gothic" w:eastAsia="Times New Roman" w:hAnsi="Century Gothic" w:cs="Tahoma"/>
        </w:rPr>
        <w:t>e</w:t>
      </w:r>
      <w:r w:rsidR="002772B3">
        <w:rPr>
          <w:rFonts w:ascii="Century Gothic" w:eastAsia="Times New Roman" w:hAnsi="Century Gothic" w:cs="Tahoma"/>
        </w:rPr>
        <w:t xml:space="preserve"> Pankrác, kde vzniká první výšková obytná budova v Praze v luxusním standardu</w:t>
      </w:r>
      <w:r w:rsidR="00143CDB">
        <w:rPr>
          <w:rFonts w:ascii="Century Gothic" w:eastAsia="Times New Roman" w:hAnsi="Century Gothic" w:cs="Tahoma"/>
        </w:rPr>
        <w:t>,</w:t>
      </w:r>
      <w:r w:rsidR="00143CDB" w:rsidRPr="00AD713F">
        <w:rPr>
          <w:rFonts w:ascii="Century Gothic" w:eastAsia="Times New Roman" w:hAnsi="Century Gothic" w:cs="Arial"/>
        </w:rPr>
        <w:t xml:space="preserve">“ </w:t>
      </w:r>
      <w:r w:rsidR="00143CDB">
        <w:rPr>
          <w:rFonts w:ascii="Century Gothic" w:eastAsia="Times New Roman" w:hAnsi="Century Gothic" w:cs="Arial"/>
        </w:rPr>
        <w:t>komentuje</w:t>
      </w:r>
      <w:r w:rsidR="00143CDB" w:rsidRPr="00AD713F">
        <w:rPr>
          <w:rFonts w:ascii="Century Gothic" w:eastAsia="Times New Roman" w:hAnsi="Century Gothic" w:cs="Arial"/>
        </w:rPr>
        <w:t xml:space="preserve"> </w:t>
      </w:r>
      <w:bookmarkStart w:id="0" w:name="_GoBack"/>
      <w:bookmarkEnd w:id="0"/>
      <w:r w:rsidR="0093230C">
        <w:rPr>
          <w:rFonts w:ascii="Century Gothic" w:eastAsia="Times New Roman" w:hAnsi="Century Gothic" w:cs="Arial"/>
          <w:b/>
        </w:rPr>
        <w:t xml:space="preserve">Denisa </w:t>
      </w:r>
      <w:proofErr w:type="spellStart"/>
      <w:r w:rsidR="0093230C">
        <w:rPr>
          <w:rFonts w:ascii="Century Gothic" w:eastAsia="Times New Roman" w:hAnsi="Century Gothic" w:cs="Arial"/>
          <w:b/>
        </w:rPr>
        <w:t>Višňovská</w:t>
      </w:r>
      <w:proofErr w:type="spellEnd"/>
      <w:r w:rsidR="001B020F">
        <w:rPr>
          <w:rFonts w:ascii="Century Gothic" w:eastAsia="Times New Roman" w:hAnsi="Century Gothic" w:cs="Arial"/>
        </w:rPr>
        <w:t>, partner L</w:t>
      </w:r>
      <w:r w:rsidR="00C27329">
        <w:rPr>
          <w:rFonts w:ascii="Century Gothic" w:eastAsia="Times New Roman" w:hAnsi="Century Gothic" w:cs="Arial"/>
        </w:rPr>
        <w:t>EXXUS</w:t>
      </w:r>
      <w:r w:rsidR="0093230C">
        <w:rPr>
          <w:rFonts w:ascii="Century Gothic" w:eastAsia="Times New Roman" w:hAnsi="Century Gothic" w:cs="Arial"/>
        </w:rPr>
        <w:t>.</w:t>
      </w:r>
    </w:p>
    <w:p w14:paraId="4FA8E6AE" w14:textId="43F19074" w:rsidR="00143CDB" w:rsidRDefault="00143CDB" w:rsidP="009754BB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Arial"/>
        </w:rPr>
      </w:pPr>
    </w:p>
    <w:p w14:paraId="473627CE" w14:textId="09273B80" w:rsidR="009754BB" w:rsidRPr="00A8617B" w:rsidRDefault="00A8617B" w:rsidP="009754BB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Arial"/>
          <w:i/>
          <w:sz w:val="20"/>
        </w:rPr>
      </w:pPr>
      <w:r>
        <w:rPr>
          <w:rFonts w:ascii="Century Gothic" w:eastAsia="Times New Roman" w:hAnsi="Century Gothic" w:cs="Arial"/>
          <w:i/>
          <w:sz w:val="20"/>
        </w:rPr>
        <w:t>Luxusní p</w:t>
      </w:r>
      <w:r w:rsidRPr="00A8617B">
        <w:rPr>
          <w:rFonts w:ascii="Century Gothic" w:eastAsia="Times New Roman" w:hAnsi="Century Gothic" w:cs="Arial"/>
          <w:i/>
          <w:sz w:val="20"/>
        </w:rPr>
        <w:t>rojekt U Rajské zahrady 18 (</w:t>
      </w:r>
      <w:proofErr w:type="spellStart"/>
      <w:r w:rsidRPr="00A8617B">
        <w:rPr>
          <w:rFonts w:ascii="Century Gothic" w:eastAsia="Times New Roman" w:hAnsi="Century Gothic" w:cs="Arial"/>
          <w:i/>
          <w:sz w:val="20"/>
        </w:rPr>
        <w:t>Lexxus</w:t>
      </w:r>
      <w:proofErr w:type="spellEnd"/>
      <w:r w:rsidRPr="00A8617B">
        <w:rPr>
          <w:rFonts w:ascii="Century Gothic" w:eastAsia="Times New Roman" w:hAnsi="Century Gothic" w:cs="Arial"/>
          <w:i/>
          <w:sz w:val="20"/>
        </w:rPr>
        <w:t xml:space="preserve"> </w:t>
      </w:r>
      <w:proofErr w:type="spellStart"/>
      <w:r w:rsidRPr="00A8617B">
        <w:rPr>
          <w:rFonts w:ascii="Century Gothic" w:eastAsia="Times New Roman" w:hAnsi="Century Gothic" w:cs="Arial"/>
          <w:i/>
          <w:sz w:val="20"/>
        </w:rPr>
        <w:t>Norton</w:t>
      </w:r>
      <w:proofErr w:type="spellEnd"/>
      <w:r w:rsidRPr="00A8617B">
        <w:rPr>
          <w:rFonts w:ascii="Century Gothic" w:eastAsia="Times New Roman" w:hAnsi="Century Gothic" w:cs="Arial"/>
          <w:i/>
          <w:sz w:val="20"/>
        </w:rPr>
        <w:t>)</w:t>
      </w:r>
    </w:p>
    <w:p w14:paraId="22FD6692" w14:textId="77777777" w:rsidR="00A8617B" w:rsidRDefault="00A8617B" w:rsidP="009754BB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Arial"/>
        </w:rPr>
      </w:pPr>
    </w:p>
    <w:p w14:paraId="03A1DEA9" w14:textId="79E547A8" w:rsidR="009754BB" w:rsidRPr="009754BB" w:rsidRDefault="009754BB" w:rsidP="009754BB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Arial"/>
          <w:b/>
        </w:rPr>
      </w:pPr>
      <w:r w:rsidRPr="009754BB">
        <w:rPr>
          <w:rFonts w:ascii="Century Gothic" w:eastAsia="Times New Roman" w:hAnsi="Century Gothic" w:cs="Arial"/>
          <w:b/>
        </w:rPr>
        <w:t>S koupí luxusní nemovitosti není dobré otálet – ceny nadále rostou</w:t>
      </w:r>
    </w:p>
    <w:p w14:paraId="593D1160" w14:textId="1314E069" w:rsidR="009754BB" w:rsidRDefault="00FE3524" w:rsidP="009754BB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</w:rPr>
        <w:t xml:space="preserve">Realitní kancelář </w:t>
      </w:r>
      <w:proofErr w:type="spellStart"/>
      <w:r>
        <w:rPr>
          <w:rFonts w:ascii="Century Gothic" w:eastAsia="Times New Roman" w:hAnsi="Century Gothic" w:cs="Tahoma"/>
        </w:rPr>
        <w:t>Lexxus</w:t>
      </w:r>
      <w:proofErr w:type="spellEnd"/>
      <w:r>
        <w:rPr>
          <w:rFonts w:ascii="Century Gothic" w:eastAsia="Times New Roman" w:hAnsi="Century Gothic" w:cs="Tahoma"/>
        </w:rPr>
        <w:t xml:space="preserve"> </w:t>
      </w:r>
      <w:proofErr w:type="spellStart"/>
      <w:r>
        <w:rPr>
          <w:rFonts w:ascii="Century Gothic" w:eastAsia="Times New Roman" w:hAnsi="Century Gothic" w:cs="Tahoma"/>
        </w:rPr>
        <w:t>Norton</w:t>
      </w:r>
      <w:proofErr w:type="spellEnd"/>
      <w:r>
        <w:rPr>
          <w:rFonts w:ascii="Century Gothic" w:eastAsia="Times New Roman" w:hAnsi="Century Gothic" w:cs="Tahoma"/>
        </w:rPr>
        <w:t xml:space="preserve"> udává, </w:t>
      </w:r>
      <w:r w:rsidR="005C11C7">
        <w:rPr>
          <w:rFonts w:ascii="Century Gothic" w:eastAsia="Times New Roman" w:hAnsi="Century Gothic" w:cs="Tahoma"/>
        </w:rPr>
        <w:t xml:space="preserve">že velký zájem o </w:t>
      </w:r>
      <w:r>
        <w:rPr>
          <w:rFonts w:ascii="Century Gothic" w:eastAsia="Times New Roman" w:hAnsi="Century Gothic" w:cs="Tahoma"/>
        </w:rPr>
        <w:t xml:space="preserve">nadstandardní bydlení </w:t>
      </w:r>
      <w:r w:rsidR="005C11C7">
        <w:rPr>
          <w:rFonts w:ascii="Century Gothic" w:eastAsia="Times New Roman" w:hAnsi="Century Gothic" w:cs="Tahoma"/>
        </w:rPr>
        <w:t xml:space="preserve">v uvedených lokalitách </w:t>
      </w:r>
      <w:r w:rsidR="00D04197">
        <w:rPr>
          <w:rFonts w:ascii="Century Gothic" w:eastAsia="Times New Roman" w:hAnsi="Century Gothic" w:cs="Tahoma"/>
        </w:rPr>
        <w:t>je jedním z důvodů</w:t>
      </w:r>
      <w:r>
        <w:rPr>
          <w:rFonts w:ascii="Century Gothic" w:eastAsia="Times New Roman" w:hAnsi="Century Gothic" w:cs="Tahoma"/>
        </w:rPr>
        <w:t xml:space="preserve"> </w:t>
      </w:r>
      <w:r w:rsidR="00D04197">
        <w:rPr>
          <w:rFonts w:ascii="Century Gothic" w:eastAsia="Times New Roman" w:hAnsi="Century Gothic" w:cs="Tahoma"/>
        </w:rPr>
        <w:t>nebývalého</w:t>
      </w:r>
      <w:r w:rsidR="00D567D2">
        <w:rPr>
          <w:rFonts w:ascii="Century Gothic" w:eastAsia="Times New Roman" w:hAnsi="Century Gothic" w:cs="Tahoma"/>
        </w:rPr>
        <w:t xml:space="preserve"> </w:t>
      </w:r>
      <w:r w:rsidR="00D567D2" w:rsidRPr="009754BB">
        <w:rPr>
          <w:rFonts w:ascii="Century Gothic" w:eastAsia="Times New Roman" w:hAnsi="Century Gothic" w:cs="Tahoma"/>
        </w:rPr>
        <w:t>růst</w:t>
      </w:r>
      <w:r w:rsidR="00D04197" w:rsidRPr="009754BB">
        <w:rPr>
          <w:rFonts w:ascii="Century Gothic" w:eastAsia="Times New Roman" w:hAnsi="Century Gothic" w:cs="Tahoma"/>
        </w:rPr>
        <w:t>u</w:t>
      </w:r>
      <w:r w:rsidR="00D567D2" w:rsidRPr="009754BB">
        <w:rPr>
          <w:rFonts w:ascii="Century Gothic" w:eastAsia="Times New Roman" w:hAnsi="Century Gothic" w:cs="Tahoma"/>
        </w:rPr>
        <w:t xml:space="preserve"> maximálních </w:t>
      </w:r>
      <w:r w:rsidR="007B16BA" w:rsidRPr="009754BB">
        <w:rPr>
          <w:rFonts w:ascii="Century Gothic" w:eastAsia="Times New Roman" w:hAnsi="Century Gothic" w:cs="Tahoma"/>
        </w:rPr>
        <w:t xml:space="preserve">nabídkových </w:t>
      </w:r>
      <w:r w:rsidR="00D567D2" w:rsidRPr="009754BB">
        <w:rPr>
          <w:rFonts w:ascii="Century Gothic" w:eastAsia="Times New Roman" w:hAnsi="Century Gothic" w:cs="Tahoma"/>
        </w:rPr>
        <w:t>cen</w:t>
      </w:r>
      <w:r w:rsidR="00BB0C32" w:rsidRPr="009754BB">
        <w:rPr>
          <w:rFonts w:ascii="Century Gothic" w:eastAsia="Times New Roman" w:hAnsi="Century Gothic" w:cs="Tahoma"/>
        </w:rPr>
        <w:t xml:space="preserve"> i nájemného v exkluzivních bytech</w:t>
      </w:r>
      <w:r w:rsidR="00803667">
        <w:rPr>
          <w:rFonts w:ascii="Century Gothic" w:eastAsia="Times New Roman" w:hAnsi="Century Gothic" w:cs="Tahoma"/>
        </w:rPr>
        <w:t xml:space="preserve">. To aktuálně dosahuje </w:t>
      </w:r>
      <w:r w:rsidR="00EC6335">
        <w:rPr>
          <w:rFonts w:ascii="Century Gothic" w:eastAsia="Times New Roman" w:hAnsi="Century Gothic" w:cs="Tahoma"/>
        </w:rPr>
        <w:t xml:space="preserve">až na </w:t>
      </w:r>
      <w:r w:rsidR="00EC6335">
        <w:rPr>
          <w:rFonts w:ascii="Century Gothic" w:eastAsia="Times New Roman" w:hAnsi="Century Gothic" w:cs="Arial"/>
        </w:rPr>
        <w:t>1</w:t>
      </w:r>
      <w:r w:rsidR="00803667">
        <w:rPr>
          <w:rFonts w:ascii="Century Gothic" w:eastAsia="Times New Roman" w:hAnsi="Century Gothic" w:cs="Arial"/>
        </w:rPr>
        <w:t xml:space="preserve"> </w:t>
      </w:r>
      <w:r w:rsidR="00EC6335">
        <w:rPr>
          <w:rFonts w:ascii="Century Gothic" w:eastAsia="Times New Roman" w:hAnsi="Century Gothic" w:cs="Arial"/>
        </w:rPr>
        <w:t>000 Kč/m</w:t>
      </w:r>
      <w:r w:rsidR="00EC6335" w:rsidRPr="00D04197">
        <w:rPr>
          <w:rFonts w:ascii="Century Gothic" w:eastAsia="Times New Roman" w:hAnsi="Century Gothic" w:cs="Tahoma"/>
          <w:vertAlign w:val="superscript"/>
        </w:rPr>
        <w:t>2</w:t>
      </w:r>
      <w:r w:rsidR="00EC6335">
        <w:rPr>
          <w:rFonts w:ascii="Century Gothic" w:eastAsia="Times New Roman" w:hAnsi="Century Gothic" w:cs="Tahoma"/>
          <w:vertAlign w:val="superscript"/>
        </w:rPr>
        <w:t xml:space="preserve"> </w:t>
      </w:r>
      <w:r w:rsidR="00803667">
        <w:rPr>
          <w:rFonts w:ascii="Century Gothic" w:eastAsia="Times New Roman" w:hAnsi="Century Gothic" w:cs="Tahoma"/>
        </w:rPr>
        <w:t>za měsíc</w:t>
      </w:r>
      <w:r w:rsidR="00D567D2" w:rsidRPr="009754BB">
        <w:rPr>
          <w:rFonts w:ascii="Century Gothic" w:eastAsia="Times New Roman" w:hAnsi="Century Gothic" w:cs="Tahoma"/>
        </w:rPr>
        <w:t>. „</w:t>
      </w:r>
      <w:r w:rsidR="00803667">
        <w:rPr>
          <w:rFonts w:ascii="Century Gothic" w:eastAsia="Times New Roman" w:hAnsi="Century Gothic" w:cs="Tahoma"/>
        </w:rPr>
        <w:t>C</w:t>
      </w:r>
      <w:r w:rsidR="00D04197">
        <w:rPr>
          <w:rFonts w:ascii="Century Gothic" w:eastAsia="Times New Roman" w:hAnsi="Century Gothic" w:cs="Tahoma"/>
        </w:rPr>
        <w:t xml:space="preserve">eny v celém luxusním segmentu stouply za uplynulý rok v průměru </w:t>
      </w:r>
      <w:r w:rsidR="00096F52">
        <w:rPr>
          <w:rFonts w:ascii="Century Gothic" w:eastAsia="Times New Roman" w:hAnsi="Century Gothic" w:cs="Tahoma"/>
        </w:rPr>
        <w:t xml:space="preserve">o 10 %, takže </w:t>
      </w:r>
      <w:r w:rsidR="00641FF0">
        <w:rPr>
          <w:rFonts w:ascii="Century Gothic" w:eastAsia="Times New Roman" w:hAnsi="Century Gothic" w:cs="Tahoma"/>
        </w:rPr>
        <w:t xml:space="preserve">v nejdražších bytových lokalitách </w:t>
      </w:r>
      <w:r w:rsidR="00096F52">
        <w:rPr>
          <w:rFonts w:ascii="Century Gothic" w:eastAsia="Times New Roman" w:hAnsi="Century Gothic" w:cs="Tahoma"/>
        </w:rPr>
        <w:t>již</w:t>
      </w:r>
      <w:r w:rsidR="00803667">
        <w:rPr>
          <w:rFonts w:ascii="Century Gothic" w:eastAsia="Times New Roman" w:hAnsi="Century Gothic" w:cs="Tahoma"/>
        </w:rPr>
        <w:t xml:space="preserve"> </w:t>
      </w:r>
      <w:r w:rsidR="00641FF0">
        <w:rPr>
          <w:rFonts w:ascii="Century Gothic" w:eastAsia="Times New Roman" w:hAnsi="Century Gothic" w:cs="Tahoma"/>
        </w:rPr>
        <w:t>př</w:t>
      </w:r>
      <w:r w:rsidR="00096F52">
        <w:rPr>
          <w:rFonts w:ascii="Century Gothic" w:eastAsia="Times New Roman" w:hAnsi="Century Gothic" w:cs="Tahoma"/>
        </w:rPr>
        <w:t>ekračují</w:t>
      </w:r>
      <w:r w:rsidR="00641FF0">
        <w:rPr>
          <w:rFonts w:ascii="Century Gothic" w:eastAsia="Times New Roman" w:hAnsi="Century Gothic" w:cs="Tahoma"/>
        </w:rPr>
        <w:t xml:space="preserve"> 200 </w:t>
      </w:r>
      <w:r w:rsidR="00641FF0" w:rsidRPr="00D04197">
        <w:rPr>
          <w:rFonts w:ascii="Century Gothic" w:eastAsia="Times New Roman" w:hAnsi="Century Gothic" w:cs="Tahoma"/>
        </w:rPr>
        <w:t>tis</w:t>
      </w:r>
      <w:r w:rsidR="00641FF0">
        <w:rPr>
          <w:rFonts w:ascii="Century Gothic" w:eastAsia="Times New Roman" w:hAnsi="Century Gothic" w:cs="Tahoma"/>
        </w:rPr>
        <w:t>.</w:t>
      </w:r>
      <w:r w:rsidR="00641FF0" w:rsidRPr="00D04197">
        <w:rPr>
          <w:rFonts w:ascii="Century Gothic" w:eastAsia="Times New Roman" w:hAnsi="Century Gothic" w:cs="Tahoma"/>
        </w:rPr>
        <w:t xml:space="preserve"> Kč/m</w:t>
      </w:r>
      <w:r w:rsidR="00641FF0" w:rsidRPr="00D04197">
        <w:rPr>
          <w:rFonts w:ascii="Century Gothic" w:eastAsia="Times New Roman" w:hAnsi="Century Gothic" w:cs="Tahoma"/>
          <w:vertAlign w:val="superscript"/>
        </w:rPr>
        <w:t>2</w:t>
      </w:r>
      <w:r w:rsidR="00641FF0">
        <w:rPr>
          <w:rFonts w:ascii="Century Gothic" w:eastAsia="Times New Roman" w:hAnsi="Century Gothic" w:cs="Tahoma"/>
        </w:rPr>
        <w:t>.</w:t>
      </w:r>
      <w:r w:rsidR="00096F52">
        <w:rPr>
          <w:rFonts w:ascii="Century Gothic" w:eastAsia="Times New Roman" w:hAnsi="Century Gothic" w:cs="Tahoma"/>
        </w:rPr>
        <w:t xml:space="preserve"> Tento nárůst je zvláště markantní v módních oblastech typu Pařížská ulice, v nichž</w:t>
      </w:r>
      <w:r w:rsidR="00641FF0">
        <w:rPr>
          <w:rFonts w:ascii="Century Gothic" w:eastAsia="Times New Roman" w:hAnsi="Century Gothic" w:cs="Tahoma"/>
        </w:rPr>
        <w:t xml:space="preserve"> </w:t>
      </w:r>
      <w:r w:rsidR="00ED2C5A">
        <w:rPr>
          <w:rFonts w:ascii="Century Gothic" w:eastAsia="Times New Roman" w:hAnsi="Century Gothic" w:cs="Tahoma"/>
        </w:rPr>
        <w:t xml:space="preserve">se navýšily </w:t>
      </w:r>
      <w:r w:rsidR="00A23BA9">
        <w:rPr>
          <w:rFonts w:ascii="Century Gothic" w:eastAsia="Times New Roman" w:hAnsi="Century Gothic" w:cs="Tahoma"/>
        </w:rPr>
        <w:t>maximální požadované</w:t>
      </w:r>
      <w:r w:rsidR="00641FF0">
        <w:rPr>
          <w:rFonts w:ascii="Century Gothic" w:eastAsia="Times New Roman" w:hAnsi="Century Gothic" w:cs="Tahoma"/>
        </w:rPr>
        <w:t xml:space="preserve"> ceny z 257 </w:t>
      </w:r>
      <w:r w:rsidR="00641FF0" w:rsidRPr="00D04197">
        <w:rPr>
          <w:rFonts w:ascii="Century Gothic" w:eastAsia="Times New Roman" w:hAnsi="Century Gothic" w:cs="Tahoma"/>
        </w:rPr>
        <w:t>tis</w:t>
      </w:r>
      <w:r w:rsidR="00641FF0">
        <w:rPr>
          <w:rFonts w:ascii="Century Gothic" w:eastAsia="Times New Roman" w:hAnsi="Century Gothic" w:cs="Tahoma"/>
        </w:rPr>
        <w:t>.</w:t>
      </w:r>
      <w:r w:rsidR="00641FF0" w:rsidRPr="00D04197">
        <w:rPr>
          <w:rFonts w:ascii="Century Gothic" w:eastAsia="Times New Roman" w:hAnsi="Century Gothic" w:cs="Tahoma"/>
        </w:rPr>
        <w:t xml:space="preserve"> Kč/m</w:t>
      </w:r>
      <w:r w:rsidR="00641FF0" w:rsidRPr="00D04197">
        <w:rPr>
          <w:rFonts w:ascii="Century Gothic" w:eastAsia="Times New Roman" w:hAnsi="Century Gothic" w:cs="Tahoma"/>
          <w:vertAlign w:val="superscript"/>
        </w:rPr>
        <w:t>2</w:t>
      </w:r>
      <w:r w:rsidR="00641FF0">
        <w:rPr>
          <w:rFonts w:ascii="Century Gothic" w:eastAsia="Times New Roman" w:hAnsi="Century Gothic" w:cs="Tahoma"/>
        </w:rPr>
        <w:t xml:space="preserve"> až na 400 </w:t>
      </w:r>
      <w:r w:rsidR="00641FF0" w:rsidRPr="00D04197">
        <w:rPr>
          <w:rFonts w:ascii="Century Gothic" w:eastAsia="Times New Roman" w:hAnsi="Century Gothic" w:cs="Tahoma"/>
        </w:rPr>
        <w:t>tis</w:t>
      </w:r>
      <w:r w:rsidR="00641FF0">
        <w:rPr>
          <w:rFonts w:ascii="Century Gothic" w:eastAsia="Times New Roman" w:hAnsi="Century Gothic" w:cs="Tahoma"/>
        </w:rPr>
        <w:t>.</w:t>
      </w:r>
      <w:r w:rsidR="00641FF0" w:rsidRPr="00D04197">
        <w:rPr>
          <w:rFonts w:ascii="Century Gothic" w:eastAsia="Times New Roman" w:hAnsi="Century Gothic" w:cs="Tahoma"/>
        </w:rPr>
        <w:t xml:space="preserve"> Kč/m</w:t>
      </w:r>
      <w:r w:rsidR="00641FF0" w:rsidRPr="00D04197">
        <w:rPr>
          <w:rFonts w:ascii="Century Gothic" w:eastAsia="Times New Roman" w:hAnsi="Century Gothic" w:cs="Tahoma"/>
          <w:vertAlign w:val="superscript"/>
        </w:rPr>
        <w:t>2</w:t>
      </w:r>
      <w:r w:rsidR="00BB0C32">
        <w:rPr>
          <w:rFonts w:ascii="Century Gothic" w:eastAsia="Times New Roman" w:hAnsi="Century Gothic" w:cs="Tahoma"/>
        </w:rPr>
        <w:t>.</w:t>
      </w:r>
      <w:r w:rsidR="00EC6335">
        <w:rPr>
          <w:rFonts w:ascii="Century Gothic" w:eastAsia="Times New Roman" w:hAnsi="Century Gothic" w:cs="Tahoma"/>
        </w:rPr>
        <w:t xml:space="preserve"> </w:t>
      </w:r>
      <w:r w:rsidR="00925731">
        <w:rPr>
          <w:rFonts w:ascii="Century Gothic" w:eastAsia="Times New Roman" w:hAnsi="Century Gothic" w:cs="Tahoma"/>
        </w:rPr>
        <w:t xml:space="preserve">Zdražování </w:t>
      </w:r>
      <w:r w:rsidR="005A2623">
        <w:rPr>
          <w:rFonts w:ascii="Century Gothic" w:eastAsia="Times New Roman" w:hAnsi="Century Gothic" w:cs="Tahoma"/>
        </w:rPr>
        <w:t>sice</w:t>
      </w:r>
      <w:r w:rsidR="00925731">
        <w:rPr>
          <w:rFonts w:ascii="Century Gothic" w:eastAsia="Times New Roman" w:hAnsi="Century Gothic" w:cs="Tahoma"/>
        </w:rPr>
        <w:t xml:space="preserve"> není tak </w:t>
      </w:r>
      <w:r w:rsidR="00EC6335">
        <w:rPr>
          <w:rFonts w:ascii="Century Gothic" w:eastAsia="Times New Roman" w:hAnsi="Century Gothic" w:cs="Tahoma"/>
        </w:rPr>
        <w:t>prudké</w:t>
      </w:r>
      <w:r w:rsidR="00925731">
        <w:rPr>
          <w:rFonts w:ascii="Century Gothic" w:eastAsia="Times New Roman" w:hAnsi="Century Gothic" w:cs="Tahoma"/>
        </w:rPr>
        <w:t xml:space="preserve"> jako u nemov</w:t>
      </w:r>
      <w:r w:rsidR="00F65C36">
        <w:rPr>
          <w:rFonts w:ascii="Century Gothic" w:eastAsia="Times New Roman" w:hAnsi="Century Gothic" w:cs="Tahoma"/>
        </w:rPr>
        <w:t xml:space="preserve">itostí v středním segmentu, </w:t>
      </w:r>
      <w:r w:rsidR="00925731">
        <w:rPr>
          <w:rFonts w:ascii="Century Gothic" w:eastAsia="Times New Roman" w:hAnsi="Century Gothic" w:cs="Tahoma"/>
        </w:rPr>
        <w:t xml:space="preserve">budoucí zájemci s ním </w:t>
      </w:r>
      <w:r w:rsidR="00F65C36">
        <w:rPr>
          <w:rFonts w:ascii="Century Gothic" w:eastAsia="Times New Roman" w:hAnsi="Century Gothic" w:cs="Tahoma"/>
        </w:rPr>
        <w:t xml:space="preserve">však </w:t>
      </w:r>
      <w:r w:rsidR="00925731">
        <w:rPr>
          <w:rFonts w:ascii="Century Gothic" w:eastAsia="Times New Roman" w:hAnsi="Century Gothic" w:cs="Tahoma"/>
        </w:rPr>
        <w:t>musí předem počítat</w:t>
      </w:r>
      <w:r w:rsidR="00BB0C32">
        <w:rPr>
          <w:rFonts w:ascii="Century Gothic" w:eastAsia="Times New Roman" w:hAnsi="Century Gothic" w:cs="Tahoma"/>
        </w:rPr>
        <w:t>,</w:t>
      </w:r>
      <w:r w:rsidR="00D567D2" w:rsidRPr="00AD713F">
        <w:rPr>
          <w:rFonts w:ascii="Century Gothic" w:eastAsia="Times New Roman" w:hAnsi="Century Gothic" w:cs="Arial"/>
        </w:rPr>
        <w:t>“</w:t>
      </w:r>
      <w:r w:rsidR="001A7D9D">
        <w:rPr>
          <w:rFonts w:ascii="Century Gothic" w:eastAsia="Times New Roman" w:hAnsi="Century Gothic" w:cs="Tahoma"/>
        </w:rPr>
        <w:t xml:space="preserve"> hodnotí</w:t>
      </w:r>
      <w:r w:rsidR="00D567D2" w:rsidRPr="00AD713F">
        <w:rPr>
          <w:rFonts w:ascii="Century Gothic" w:eastAsia="Times New Roman" w:hAnsi="Century Gothic" w:cs="Arial"/>
        </w:rPr>
        <w:t xml:space="preserve"> </w:t>
      </w:r>
      <w:r w:rsidR="00D567D2">
        <w:rPr>
          <w:rFonts w:ascii="Century Gothic" w:eastAsia="Times New Roman" w:hAnsi="Century Gothic" w:cs="Arial"/>
        </w:rPr>
        <w:t xml:space="preserve">současnou situaci </w:t>
      </w:r>
      <w:r w:rsidR="0093230C">
        <w:rPr>
          <w:rFonts w:ascii="Century Gothic" w:eastAsia="Times New Roman" w:hAnsi="Century Gothic" w:cs="Arial"/>
          <w:b/>
        </w:rPr>
        <w:t xml:space="preserve">Denisa </w:t>
      </w:r>
      <w:proofErr w:type="spellStart"/>
      <w:r w:rsidR="0093230C">
        <w:rPr>
          <w:rFonts w:ascii="Century Gothic" w:eastAsia="Times New Roman" w:hAnsi="Century Gothic" w:cs="Arial"/>
          <w:b/>
        </w:rPr>
        <w:t>Višňovská</w:t>
      </w:r>
      <w:proofErr w:type="spellEnd"/>
      <w:r w:rsidR="001A7D9D">
        <w:rPr>
          <w:rFonts w:ascii="Century Gothic" w:eastAsia="Times New Roman" w:hAnsi="Century Gothic" w:cs="Arial"/>
          <w:b/>
        </w:rPr>
        <w:t>.</w:t>
      </w:r>
      <w:r w:rsidR="00D567D2" w:rsidRPr="00AD713F">
        <w:rPr>
          <w:rFonts w:ascii="Century Gothic" w:eastAsia="Times New Roman" w:hAnsi="Century Gothic" w:cs="Arial"/>
        </w:rPr>
        <w:t xml:space="preserve"> </w:t>
      </w:r>
    </w:p>
    <w:p w14:paraId="53475C57" w14:textId="313E1961" w:rsidR="00925731" w:rsidRDefault="00925731" w:rsidP="00EC6335">
      <w:pPr>
        <w:spacing w:after="0" w:line="320" w:lineRule="atLeast"/>
        <w:ind w:right="-567"/>
        <w:jc w:val="both"/>
        <w:rPr>
          <w:rFonts w:ascii="Century Gothic" w:eastAsia="Times New Roman" w:hAnsi="Century Gothic" w:cs="Tahoma"/>
          <w:b/>
        </w:rPr>
      </w:pPr>
    </w:p>
    <w:p w14:paraId="51E8CF92" w14:textId="77777777" w:rsidR="00353163" w:rsidRDefault="00353163" w:rsidP="00EC6335">
      <w:pPr>
        <w:spacing w:after="0" w:line="320" w:lineRule="atLeast"/>
        <w:ind w:right="-567"/>
        <w:jc w:val="both"/>
        <w:rPr>
          <w:rFonts w:ascii="Century Gothic" w:eastAsia="Times New Roman" w:hAnsi="Century Gothic" w:cs="Tahoma"/>
          <w:b/>
        </w:rPr>
      </w:pPr>
    </w:p>
    <w:p w14:paraId="6B6FF79E" w14:textId="77777777" w:rsidR="00353163" w:rsidRDefault="00353163" w:rsidP="00EC6335">
      <w:pPr>
        <w:spacing w:after="0" w:line="320" w:lineRule="atLeast"/>
        <w:ind w:right="-567"/>
        <w:jc w:val="both"/>
        <w:rPr>
          <w:rFonts w:ascii="Century Gothic" w:eastAsia="Times New Roman" w:hAnsi="Century Gothic" w:cs="Tahoma"/>
          <w:b/>
        </w:rPr>
      </w:pPr>
    </w:p>
    <w:p w14:paraId="5CA7AD2F" w14:textId="19619F35" w:rsidR="009754BB" w:rsidRPr="009754BB" w:rsidRDefault="009754BB" w:rsidP="009754BB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Tahoma"/>
          <w:b/>
        </w:rPr>
      </w:pPr>
      <w:r w:rsidRPr="009754BB">
        <w:rPr>
          <w:rFonts w:ascii="Century Gothic" w:eastAsia="Times New Roman" w:hAnsi="Century Gothic" w:cs="Tahoma"/>
          <w:b/>
        </w:rPr>
        <w:lastRenderedPageBreak/>
        <w:t>Mezi kupujícími již nepřevažují zájemci ze zahraničí</w:t>
      </w:r>
    </w:p>
    <w:p w14:paraId="76C72962" w14:textId="6764D053" w:rsidR="00BB0C32" w:rsidRPr="00854412" w:rsidRDefault="00A8617B" w:rsidP="00AB5C5A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F40A23D" wp14:editId="133EB2FA">
            <wp:simplePos x="0" y="0"/>
            <wp:positionH relativeFrom="margin">
              <wp:posOffset>4023995</wp:posOffset>
            </wp:positionH>
            <wp:positionV relativeFrom="margin">
              <wp:posOffset>977900</wp:posOffset>
            </wp:positionV>
            <wp:extent cx="2088515" cy="1391920"/>
            <wp:effectExtent l="0" t="0" r="698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c_obloha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412">
        <w:rPr>
          <w:rFonts w:ascii="Century Gothic" w:eastAsia="Times New Roman" w:hAnsi="Century Gothic" w:cs="Arial"/>
        </w:rPr>
        <w:t>Podle dostupných analýz sice</w:t>
      </w:r>
      <w:r w:rsidR="0074767C" w:rsidRPr="0074767C">
        <w:rPr>
          <w:rFonts w:ascii="Century Gothic" w:eastAsia="Times New Roman" w:hAnsi="Century Gothic" w:cs="Arial"/>
        </w:rPr>
        <w:t xml:space="preserve"> zájem o luxusní nemovitosti ve světě slábne, v České republice</w:t>
      </w:r>
      <w:r w:rsidR="00854412">
        <w:rPr>
          <w:rFonts w:ascii="Century Gothic" w:eastAsia="Times New Roman" w:hAnsi="Century Gothic" w:cs="Arial"/>
        </w:rPr>
        <w:t xml:space="preserve"> (a </w:t>
      </w:r>
      <w:r w:rsidR="00F52515">
        <w:rPr>
          <w:rFonts w:ascii="Century Gothic" w:eastAsia="Times New Roman" w:hAnsi="Century Gothic" w:cs="Arial"/>
        </w:rPr>
        <w:t>především Praze)</w:t>
      </w:r>
      <w:r w:rsidR="0074767C" w:rsidRPr="0074767C">
        <w:rPr>
          <w:rFonts w:ascii="Century Gothic" w:eastAsia="Times New Roman" w:hAnsi="Century Gothic" w:cs="Arial"/>
        </w:rPr>
        <w:t xml:space="preserve"> je </w:t>
      </w:r>
      <w:r w:rsidR="00854412">
        <w:rPr>
          <w:rFonts w:ascii="Century Gothic" w:eastAsia="Times New Roman" w:hAnsi="Century Gothic" w:cs="Arial"/>
        </w:rPr>
        <w:t xml:space="preserve">však </w:t>
      </w:r>
      <w:r w:rsidR="0074767C" w:rsidRPr="0074767C">
        <w:rPr>
          <w:rFonts w:ascii="Century Gothic" w:eastAsia="Times New Roman" w:hAnsi="Century Gothic" w:cs="Arial"/>
        </w:rPr>
        <w:t>stále poměrně vysoký.</w:t>
      </w:r>
      <w:r w:rsidR="0074767C" w:rsidRPr="00F52515">
        <w:rPr>
          <w:rFonts w:ascii="Century Gothic" w:eastAsia="Times New Roman" w:hAnsi="Century Gothic" w:cs="Arial"/>
        </w:rPr>
        <w:t xml:space="preserve"> </w:t>
      </w:r>
      <w:r w:rsidR="00854412">
        <w:rPr>
          <w:rFonts w:ascii="Century Gothic" w:eastAsia="Times New Roman" w:hAnsi="Century Gothic" w:cs="Arial"/>
        </w:rPr>
        <w:t>P</w:t>
      </w:r>
      <w:r w:rsidR="00A00549">
        <w:rPr>
          <w:rFonts w:ascii="Century Gothic" w:eastAsia="Times New Roman" w:hAnsi="Century Gothic" w:cs="Arial"/>
        </w:rPr>
        <w:t>rojevují</w:t>
      </w:r>
      <w:r w:rsidR="00854412">
        <w:rPr>
          <w:rFonts w:ascii="Century Gothic" w:eastAsia="Times New Roman" w:hAnsi="Century Gothic" w:cs="Arial"/>
        </w:rPr>
        <w:t xml:space="preserve"> ho</w:t>
      </w:r>
      <w:r w:rsidR="00A00549">
        <w:rPr>
          <w:rFonts w:ascii="Century Gothic" w:eastAsia="Times New Roman" w:hAnsi="Century Gothic" w:cs="Arial"/>
        </w:rPr>
        <w:t xml:space="preserve"> zejména bonitní Češi a </w:t>
      </w:r>
      <w:r w:rsidR="009E7F04">
        <w:rPr>
          <w:rFonts w:ascii="Century Gothic" w:eastAsia="Times New Roman" w:hAnsi="Century Gothic" w:cs="Arial"/>
        </w:rPr>
        <w:t xml:space="preserve">Slováci, </w:t>
      </w:r>
      <w:r w:rsidR="00854412">
        <w:rPr>
          <w:rFonts w:ascii="Century Gothic" w:eastAsia="Times New Roman" w:hAnsi="Century Gothic" w:cs="Arial"/>
        </w:rPr>
        <w:t>ihned po nich následují</w:t>
      </w:r>
      <w:r w:rsidR="009E7F04">
        <w:rPr>
          <w:rFonts w:ascii="Century Gothic" w:eastAsia="Times New Roman" w:hAnsi="Century Gothic" w:cs="Arial"/>
        </w:rPr>
        <w:t xml:space="preserve"> cizinci ze zemí EU </w:t>
      </w:r>
      <w:r w:rsidR="00854412">
        <w:rPr>
          <w:rFonts w:ascii="Century Gothic" w:eastAsia="Times New Roman" w:hAnsi="Century Gothic" w:cs="Arial"/>
        </w:rPr>
        <w:t>či bývalého Sovětského svazu. Kupující</w:t>
      </w:r>
      <w:r w:rsidR="009E7F04">
        <w:rPr>
          <w:rFonts w:ascii="Century Gothic" w:eastAsia="Times New Roman" w:hAnsi="Century Gothic" w:cs="Arial"/>
        </w:rPr>
        <w:t xml:space="preserve"> považují drahé nemovitosti primárně </w:t>
      </w:r>
      <w:r w:rsidR="00BB0C32">
        <w:rPr>
          <w:rFonts w:ascii="Century Gothic" w:eastAsia="Times New Roman" w:hAnsi="Century Gothic" w:cs="Arial"/>
        </w:rPr>
        <w:t>za </w:t>
      </w:r>
      <w:r w:rsidR="009E7F04">
        <w:rPr>
          <w:rFonts w:ascii="Century Gothic" w:eastAsia="Times New Roman" w:hAnsi="Century Gothic" w:cs="Tahoma"/>
        </w:rPr>
        <w:t>dlouhodobé a stabilní uložení finančních prostředků</w:t>
      </w:r>
      <w:r w:rsidR="00803667">
        <w:rPr>
          <w:rFonts w:ascii="Century Gothic" w:eastAsia="Times New Roman" w:hAnsi="Century Gothic" w:cs="Tahoma"/>
        </w:rPr>
        <w:t xml:space="preserve"> se snadnou likviditou </w:t>
      </w:r>
      <w:r w:rsidR="00AB5C5A">
        <w:rPr>
          <w:rFonts w:ascii="Century Gothic" w:eastAsia="Times New Roman" w:hAnsi="Century Gothic" w:cs="Tahoma"/>
        </w:rPr>
        <w:t xml:space="preserve">investice </w:t>
      </w:r>
      <w:r w:rsidR="00803667">
        <w:rPr>
          <w:rFonts w:ascii="Century Gothic" w:eastAsia="Times New Roman" w:hAnsi="Century Gothic" w:cs="Tahoma"/>
        </w:rPr>
        <w:t xml:space="preserve">v případě potřeby. </w:t>
      </w:r>
      <w:r w:rsidR="009E7F04">
        <w:rPr>
          <w:rFonts w:ascii="Century Gothic" w:eastAsia="Times New Roman" w:hAnsi="Century Gothic" w:cs="Tahoma"/>
        </w:rPr>
        <w:t xml:space="preserve">Luxusní bytové jednotky mohou sloužit také </w:t>
      </w:r>
      <w:r w:rsidR="00784A2C" w:rsidRPr="00B679AC">
        <w:rPr>
          <w:rFonts w:ascii="Century Gothic" w:hAnsi="Century Gothic" w:cs="Arial"/>
        </w:rPr>
        <w:t>ke</w:t>
      </w:r>
      <w:r w:rsidR="00784A2C">
        <w:rPr>
          <w:rFonts w:ascii="Century Gothic" w:hAnsi="Century Gothic" w:cs="Arial"/>
        </w:rPr>
        <w:t> </w:t>
      </w:r>
      <w:r w:rsidR="00784A2C" w:rsidRPr="00B679AC">
        <w:rPr>
          <w:rFonts w:ascii="Century Gothic" w:hAnsi="Century Gothic" w:cs="Arial"/>
        </w:rPr>
        <w:t>krátkodobým</w:t>
      </w:r>
      <w:r w:rsidR="00784A2C">
        <w:rPr>
          <w:rFonts w:ascii="Century Gothic" w:eastAsia="Times New Roman" w:hAnsi="Century Gothic" w:cs="Tahoma"/>
        </w:rPr>
        <w:t xml:space="preserve"> pobytům majitelů či jako druhé bydlení v kombinaci s rodinným domem nebo bytem v zahraničí. </w:t>
      </w:r>
      <w:r w:rsidR="00021CBB">
        <w:rPr>
          <w:rFonts w:ascii="Century Gothic" w:eastAsia="Times New Roman" w:hAnsi="Century Gothic" w:cs="Tahoma"/>
        </w:rPr>
        <w:t xml:space="preserve">Díky novým aplikacím </w:t>
      </w:r>
      <w:r w:rsidR="009E7F04">
        <w:rPr>
          <w:rFonts w:ascii="Century Gothic" w:eastAsia="Times New Roman" w:hAnsi="Century Gothic" w:cs="Tahoma"/>
        </w:rPr>
        <w:t>navíc</w:t>
      </w:r>
      <w:r w:rsidR="00021CBB">
        <w:rPr>
          <w:rFonts w:ascii="Century Gothic" w:eastAsia="Times New Roman" w:hAnsi="Century Gothic" w:cs="Tahoma"/>
        </w:rPr>
        <w:t xml:space="preserve"> významně stoupl počet investorů, kteří se věnují krátkodobému pronájmu malých bytů v</w:t>
      </w:r>
      <w:r w:rsidR="00913CF5">
        <w:rPr>
          <w:rFonts w:ascii="Century Gothic" w:eastAsia="Times New Roman" w:hAnsi="Century Gothic" w:cs="Tahoma"/>
        </w:rPr>
        <w:t xml:space="preserve"> historickém </w:t>
      </w:r>
      <w:r w:rsidR="00021CBB">
        <w:rPr>
          <w:rFonts w:ascii="Century Gothic" w:eastAsia="Times New Roman" w:hAnsi="Century Gothic" w:cs="Tahoma"/>
        </w:rPr>
        <w:t>centru</w:t>
      </w:r>
      <w:r w:rsidR="00913CF5">
        <w:rPr>
          <w:rFonts w:ascii="Century Gothic" w:eastAsia="Times New Roman" w:hAnsi="Century Gothic" w:cs="Tahoma"/>
        </w:rPr>
        <w:t xml:space="preserve"> metropole</w:t>
      </w:r>
      <w:r w:rsidR="00021CBB">
        <w:rPr>
          <w:rFonts w:ascii="Century Gothic" w:eastAsia="Times New Roman" w:hAnsi="Century Gothic" w:cs="Tahoma"/>
        </w:rPr>
        <w:t>.</w:t>
      </w:r>
      <w:r w:rsidR="00C67BE0">
        <w:rPr>
          <w:rFonts w:ascii="Century Gothic" w:eastAsia="Times New Roman" w:hAnsi="Century Gothic" w:cs="Tahoma"/>
        </w:rPr>
        <w:t xml:space="preserve"> Ten pro ně může znamenat větší zhodnocení </w:t>
      </w:r>
      <w:r w:rsidR="00913CF5">
        <w:rPr>
          <w:rFonts w:ascii="Century Gothic" w:eastAsia="Times New Roman" w:hAnsi="Century Gothic" w:cs="Tahoma"/>
        </w:rPr>
        <w:t>financí než dlouhodobý pronájem</w:t>
      </w:r>
      <w:r w:rsidR="00BB0C32">
        <w:rPr>
          <w:rFonts w:ascii="Century Gothic" w:eastAsia="Times New Roman" w:hAnsi="Century Gothic" w:cs="Tahoma"/>
        </w:rPr>
        <w:t>.</w:t>
      </w:r>
      <w:r>
        <w:rPr>
          <w:rFonts w:ascii="Century Gothic" w:eastAsia="Times New Roman" w:hAnsi="Century Gothic" w:cs="Tahoma"/>
        </w:rPr>
        <w:t xml:space="preserve"> </w:t>
      </w:r>
      <w:r>
        <w:rPr>
          <w:rFonts w:ascii="Century Gothic" w:eastAsia="Times New Roman" w:hAnsi="Century Gothic" w:cs="Tahoma"/>
        </w:rPr>
        <w:tab/>
      </w:r>
      <w:r>
        <w:rPr>
          <w:rFonts w:ascii="Century Gothic" w:eastAsia="Times New Roman" w:hAnsi="Century Gothic" w:cs="Tahoma"/>
        </w:rPr>
        <w:tab/>
      </w:r>
      <w:r>
        <w:rPr>
          <w:rFonts w:ascii="Century Gothic" w:eastAsia="Times New Roman" w:hAnsi="Century Gothic" w:cs="Tahoma"/>
        </w:rPr>
        <w:tab/>
      </w:r>
      <w:r>
        <w:rPr>
          <w:rFonts w:ascii="Century Gothic" w:eastAsia="Times New Roman" w:hAnsi="Century Gothic" w:cs="Tahoma"/>
        </w:rPr>
        <w:tab/>
      </w:r>
      <w:r w:rsidR="00353163">
        <w:rPr>
          <w:rFonts w:ascii="Century Gothic" w:eastAsia="Times New Roman" w:hAnsi="Century Gothic" w:cs="Tahoma"/>
        </w:rPr>
        <w:t xml:space="preserve"> </w:t>
      </w:r>
      <w:r w:rsidR="00854412">
        <w:rPr>
          <w:rFonts w:ascii="Century Gothic" w:eastAsia="Times New Roman" w:hAnsi="Century Gothic" w:cs="Tahoma"/>
        </w:rPr>
        <w:t xml:space="preserve"> </w:t>
      </w:r>
      <w:r>
        <w:rPr>
          <w:rFonts w:ascii="Century Gothic" w:eastAsia="Times New Roman" w:hAnsi="Century Gothic" w:cs="Tahoma"/>
          <w:i/>
          <w:sz w:val="20"/>
        </w:rPr>
        <w:t>Luxusní p</w:t>
      </w:r>
      <w:r w:rsidRPr="00A8617B">
        <w:rPr>
          <w:rFonts w:ascii="Century Gothic" w:eastAsia="Times New Roman" w:hAnsi="Century Gothic" w:cs="Tahoma"/>
          <w:i/>
          <w:sz w:val="20"/>
        </w:rPr>
        <w:t>rojekt Hřebenky (</w:t>
      </w:r>
      <w:proofErr w:type="spellStart"/>
      <w:r w:rsidRPr="00A8617B">
        <w:rPr>
          <w:rFonts w:ascii="Century Gothic" w:eastAsia="Times New Roman" w:hAnsi="Century Gothic" w:cs="Tahoma"/>
          <w:i/>
          <w:sz w:val="20"/>
        </w:rPr>
        <w:t>Lexxus</w:t>
      </w:r>
      <w:proofErr w:type="spellEnd"/>
      <w:r w:rsidRPr="00A8617B">
        <w:rPr>
          <w:rFonts w:ascii="Century Gothic" w:eastAsia="Times New Roman" w:hAnsi="Century Gothic" w:cs="Tahoma"/>
          <w:i/>
          <w:sz w:val="20"/>
        </w:rPr>
        <w:t xml:space="preserve"> </w:t>
      </w:r>
      <w:proofErr w:type="spellStart"/>
      <w:r w:rsidRPr="00A8617B">
        <w:rPr>
          <w:rFonts w:ascii="Century Gothic" w:eastAsia="Times New Roman" w:hAnsi="Century Gothic" w:cs="Tahoma"/>
          <w:i/>
          <w:sz w:val="20"/>
        </w:rPr>
        <w:t>Norton</w:t>
      </w:r>
      <w:proofErr w:type="spellEnd"/>
      <w:r w:rsidRPr="00A8617B">
        <w:rPr>
          <w:rFonts w:ascii="Century Gothic" w:eastAsia="Times New Roman" w:hAnsi="Century Gothic" w:cs="Tahoma"/>
          <w:i/>
          <w:sz w:val="20"/>
        </w:rPr>
        <w:t>)</w:t>
      </w:r>
    </w:p>
    <w:p w14:paraId="70435253" w14:textId="77777777" w:rsidR="00BB0C32" w:rsidRDefault="00BB0C32" w:rsidP="00BB0C32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Tahoma"/>
        </w:rPr>
      </w:pPr>
    </w:p>
    <w:p w14:paraId="46AAE9C9" w14:textId="4E2EC813" w:rsidR="00643B4D" w:rsidRPr="00643B4D" w:rsidRDefault="00643B4D" w:rsidP="00BB0C32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Tahoma"/>
          <w:b/>
        </w:rPr>
      </w:pPr>
      <w:r w:rsidRPr="00643B4D">
        <w:rPr>
          <w:rFonts w:ascii="Century Gothic" w:eastAsia="Times New Roman" w:hAnsi="Century Gothic" w:cs="Tahoma"/>
          <w:b/>
        </w:rPr>
        <w:t>Trendy v oblasti luxusního bydlení se mění</w:t>
      </w:r>
      <w:r>
        <w:rPr>
          <w:rFonts w:ascii="Century Gothic" w:eastAsia="Times New Roman" w:hAnsi="Century Gothic" w:cs="Tahoma"/>
          <w:b/>
        </w:rPr>
        <w:t>, základní kritéria zůstávají stejná</w:t>
      </w:r>
    </w:p>
    <w:p w14:paraId="5828C6D4" w14:textId="30DCC85E" w:rsidR="00A8617B" w:rsidRDefault="00BB0C32" w:rsidP="00A8617B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</w:rPr>
        <w:t xml:space="preserve">Každá luxusní nemovitost musí splňovat </w:t>
      </w:r>
      <w:r w:rsidRPr="00643B4D">
        <w:rPr>
          <w:rFonts w:ascii="Century Gothic" w:eastAsia="Times New Roman" w:hAnsi="Century Gothic" w:cs="Tahoma"/>
        </w:rPr>
        <w:t>několik základních kritérií</w:t>
      </w:r>
      <w:r w:rsidR="00643B4D">
        <w:rPr>
          <w:rFonts w:ascii="Century Gothic" w:eastAsia="Times New Roman" w:hAnsi="Century Gothic" w:cs="Tahoma"/>
        </w:rPr>
        <w:t xml:space="preserve">, k nimž se řadí </w:t>
      </w:r>
      <w:r w:rsidR="00FD1FA6">
        <w:rPr>
          <w:rFonts w:ascii="Century Gothic" w:eastAsia="Times New Roman" w:hAnsi="Century Gothic" w:cs="Tahoma"/>
        </w:rPr>
        <w:t xml:space="preserve">umístění v prestižní lokalitě </w:t>
      </w:r>
      <w:r w:rsidR="00427697">
        <w:rPr>
          <w:rFonts w:ascii="Century Gothic" w:eastAsia="Times New Roman" w:hAnsi="Century Gothic" w:cs="Tahoma"/>
        </w:rPr>
        <w:t>(často v historické rezidenčn</w:t>
      </w:r>
      <w:r w:rsidR="006C414A">
        <w:rPr>
          <w:rFonts w:ascii="Century Gothic" w:eastAsia="Times New Roman" w:hAnsi="Century Gothic" w:cs="Tahoma"/>
        </w:rPr>
        <w:t>í zástavbě)</w:t>
      </w:r>
      <w:r w:rsidR="00FD1FA6">
        <w:rPr>
          <w:rFonts w:ascii="Century Gothic" w:eastAsia="Times New Roman" w:hAnsi="Century Gothic" w:cs="Tahoma"/>
        </w:rPr>
        <w:t>, atraktivní vzhled, na</w:t>
      </w:r>
      <w:r w:rsidR="00BC2D90">
        <w:rPr>
          <w:rFonts w:ascii="Century Gothic" w:eastAsia="Times New Roman" w:hAnsi="Century Gothic" w:cs="Tahoma"/>
        </w:rPr>
        <w:t>dstandardní kvalita provedení a </w:t>
      </w:r>
      <w:r w:rsidR="00FD1FA6">
        <w:rPr>
          <w:rFonts w:ascii="Century Gothic" w:eastAsia="Times New Roman" w:hAnsi="Century Gothic" w:cs="Tahoma"/>
        </w:rPr>
        <w:t>základního vybavení</w:t>
      </w:r>
      <w:r w:rsidR="00427697">
        <w:rPr>
          <w:rFonts w:ascii="Century Gothic" w:eastAsia="Times New Roman" w:hAnsi="Century Gothic" w:cs="Tahoma"/>
        </w:rPr>
        <w:t xml:space="preserve"> a také </w:t>
      </w:r>
      <w:r w:rsidR="00FD1FA6">
        <w:rPr>
          <w:rFonts w:ascii="Century Gothic" w:eastAsia="Times New Roman" w:hAnsi="Century Gothic" w:cs="Tahoma"/>
        </w:rPr>
        <w:t>výborná dopravní dostupnost a občanská vybavenost.</w:t>
      </w:r>
      <w:r w:rsidR="003901C7">
        <w:rPr>
          <w:rFonts w:ascii="Century Gothic" w:eastAsia="Times New Roman" w:hAnsi="Century Gothic" w:cs="Tahoma"/>
        </w:rPr>
        <w:t xml:space="preserve"> </w:t>
      </w:r>
      <w:r w:rsidR="00643B4D">
        <w:rPr>
          <w:rFonts w:ascii="Century Gothic" w:eastAsia="Times New Roman" w:hAnsi="Century Gothic" w:cs="Tahoma"/>
        </w:rPr>
        <w:t xml:space="preserve">Pro budoucí kupce je rovněž velmi důležitá zajištěná možnost parkování. Nezajištěné parkování u luxusního bytu snižuje </w:t>
      </w:r>
      <w:r w:rsidR="00811BE6">
        <w:rPr>
          <w:rFonts w:ascii="Century Gothic" w:eastAsia="Times New Roman" w:hAnsi="Century Gothic" w:cs="Tahoma"/>
        </w:rPr>
        <w:t>po</w:t>
      </w:r>
      <w:r w:rsidR="00643B4D">
        <w:rPr>
          <w:rFonts w:ascii="Century Gothic" w:eastAsia="Times New Roman" w:hAnsi="Century Gothic" w:cs="Tahoma"/>
        </w:rPr>
        <w:t xml:space="preserve">dle </w:t>
      </w:r>
      <w:r w:rsidR="00811BE6">
        <w:rPr>
          <w:rFonts w:ascii="Century Gothic" w:eastAsia="Times New Roman" w:hAnsi="Century Gothic" w:cs="Tahoma"/>
        </w:rPr>
        <w:t xml:space="preserve">realitních odborníků </w:t>
      </w:r>
      <w:r w:rsidR="00643B4D">
        <w:rPr>
          <w:rFonts w:ascii="Century Gothic" w:eastAsia="Times New Roman" w:hAnsi="Century Gothic" w:cs="Tahoma"/>
        </w:rPr>
        <w:t xml:space="preserve">počet zájemců až o 50 %. </w:t>
      </w:r>
      <w:r w:rsidR="00643B4D" w:rsidRPr="009754BB">
        <w:rPr>
          <w:rFonts w:ascii="Century Gothic" w:eastAsia="Times New Roman" w:hAnsi="Century Gothic" w:cs="Tahoma"/>
        </w:rPr>
        <w:t>„</w:t>
      </w:r>
      <w:r w:rsidR="005A2623">
        <w:rPr>
          <w:rFonts w:ascii="Century Gothic" w:eastAsia="Times New Roman" w:hAnsi="Century Gothic" w:cs="Tahoma"/>
        </w:rPr>
        <w:t>V </w:t>
      </w:r>
      <w:r w:rsidR="00273ACC">
        <w:rPr>
          <w:rFonts w:ascii="Century Gothic" w:eastAsia="Times New Roman" w:hAnsi="Century Gothic" w:cs="Tahoma"/>
        </w:rPr>
        <w:t xml:space="preserve">současné době </w:t>
      </w:r>
      <w:r w:rsidR="005A2623">
        <w:rPr>
          <w:rFonts w:ascii="Century Gothic" w:eastAsia="Times New Roman" w:hAnsi="Century Gothic" w:cs="Tahoma"/>
        </w:rPr>
        <w:t xml:space="preserve">se u luxusních nemovitostí </w:t>
      </w:r>
      <w:r w:rsidR="00273ACC">
        <w:rPr>
          <w:rFonts w:ascii="Century Gothic" w:eastAsia="Times New Roman" w:hAnsi="Century Gothic" w:cs="Tahoma"/>
        </w:rPr>
        <w:t>hodnotí také výjimečnost a originalita, s níž se do výsledné podoby interiéru promítne osobnost majitele, případně designéra. Viditelným trendem je snaha prezentovat interiéry exkluzivních bytů ve stylu minimalistické technické</w:t>
      </w:r>
      <w:r w:rsidR="00F22F22">
        <w:rPr>
          <w:rFonts w:ascii="Century Gothic" w:eastAsia="Times New Roman" w:hAnsi="Century Gothic" w:cs="Tahoma"/>
        </w:rPr>
        <w:t xml:space="preserve"> moderny s designovými doplňky</w:t>
      </w:r>
      <w:r w:rsidR="001E3872">
        <w:rPr>
          <w:rFonts w:ascii="Century Gothic" w:eastAsia="Times New Roman" w:hAnsi="Century Gothic" w:cs="Tahoma"/>
        </w:rPr>
        <w:t xml:space="preserve">. </w:t>
      </w:r>
      <w:r w:rsidR="00273ACC">
        <w:rPr>
          <w:rFonts w:ascii="Century Gothic" w:eastAsia="Times New Roman" w:hAnsi="Century Gothic" w:cs="Tahoma"/>
        </w:rPr>
        <w:t xml:space="preserve">Mezi další </w:t>
      </w:r>
      <w:r w:rsidR="00854412">
        <w:rPr>
          <w:rFonts w:ascii="Century Gothic" w:eastAsia="Times New Roman" w:hAnsi="Century Gothic" w:cs="Tahoma"/>
        </w:rPr>
        <w:t>požadované parametry</w:t>
      </w:r>
      <w:r w:rsidR="00237F13">
        <w:rPr>
          <w:rFonts w:ascii="Century Gothic" w:eastAsia="Times New Roman" w:hAnsi="Century Gothic" w:cs="Tahoma"/>
        </w:rPr>
        <w:t xml:space="preserve"> patří například zeleň na </w:t>
      </w:r>
      <w:r w:rsidR="00273ACC">
        <w:rPr>
          <w:rFonts w:ascii="Century Gothic" w:eastAsia="Times New Roman" w:hAnsi="Century Gothic" w:cs="Tahoma"/>
        </w:rPr>
        <w:t>terasách a střešních zahradách</w:t>
      </w:r>
      <w:r w:rsidR="00925731">
        <w:rPr>
          <w:rFonts w:ascii="Century Gothic" w:eastAsia="Times New Roman" w:hAnsi="Century Gothic" w:cs="Tahoma"/>
        </w:rPr>
        <w:t>, panoramatické výhledy či</w:t>
      </w:r>
      <w:r w:rsidR="00273ACC">
        <w:rPr>
          <w:rFonts w:ascii="Century Gothic" w:eastAsia="Times New Roman" w:hAnsi="Century Gothic" w:cs="Tahoma"/>
        </w:rPr>
        <w:t xml:space="preserve"> prodej bytů v nedokončeném stavu „</w:t>
      </w:r>
      <w:proofErr w:type="spellStart"/>
      <w:r w:rsidR="00273ACC">
        <w:rPr>
          <w:rFonts w:ascii="Century Gothic" w:eastAsia="Times New Roman" w:hAnsi="Century Gothic" w:cs="Tahoma"/>
        </w:rPr>
        <w:t>shell&amp;core</w:t>
      </w:r>
      <w:proofErr w:type="spellEnd"/>
      <w:r w:rsidR="00273ACC">
        <w:rPr>
          <w:rFonts w:ascii="Century Gothic" w:eastAsia="Times New Roman" w:hAnsi="Century Gothic" w:cs="Tahoma"/>
        </w:rPr>
        <w:t>“, které si může budoucí majitel nechat dokončit podle svého vkusu,</w:t>
      </w:r>
      <w:r w:rsidR="00844533">
        <w:rPr>
          <w:rFonts w:ascii="Century Gothic" w:eastAsia="Times New Roman" w:hAnsi="Century Gothic" w:cs="Tahoma"/>
        </w:rPr>
        <w:t xml:space="preserve"> představ a finančních možností</w:t>
      </w:r>
      <w:r w:rsidR="00643B4D">
        <w:rPr>
          <w:rFonts w:ascii="Century Gothic" w:eastAsia="Times New Roman" w:hAnsi="Century Gothic" w:cs="Tahoma"/>
        </w:rPr>
        <w:t>,</w:t>
      </w:r>
      <w:r w:rsidR="00643B4D" w:rsidRPr="00AD713F">
        <w:rPr>
          <w:rFonts w:ascii="Century Gothic" w:eastAsia="Times New Roman" w:hAnsi="Century Gothic" w:cs="Arial"/>
        </w:rPr>
        <w:t>“</w:t>
      </w:r>
      <w:r w:rsidR="00643B4D">
        <w:rPr>
          <w:rFonts w:ascii="Century Gothic" w:eastAsia="Times New Roman" w:hAnsi="Century Gothic" w:cs="Tahoma"/>
        </w:rPr>
        <w:t xml:space="preserve"> </w:t>
      </w:r>
      <w:r w:rsidR="00273ACC">
        <w:rPr>
          <w:rFonts w:ascii="Century Gothic" w:eastAsia="Times New Roman" w:hAnsi="Century Gothic" w:cs="Tahoma"/>
        </w:rPr>
        <w:t>vyjmenovává současné trendy</w:t>
      </w:r>
      <w:r w:rsidR="00643B4D">
        <w:rPr>
          <w:rFonts w:ascii="Century Gothic" w:eastAsia="Times New Roman" w:hAnsi="Century Gothic" w:cs="Arial"/>
        </w:rPr>
        <w:t xml:space="preserve"> </w:t>
      </w:r>
      <w:r w:rsidR="0093230C">
        <w:rPr>
          <w:rFonts w:ascii="Century Gothic" w:eastAsia="Times New Roman" w:hAnsi="Century Gothic" w:cs="Arial"/>
          <w:b/>
        </w:rPr>
        <w:t xml:space="preserve">Denisa </w:t>
      </w:r>
      <w:proofErr w:type="spellStart"/>
      <w:r w:rsidR="0093230C">
        <w:rPr>
          <w:rFonts w:ascii="Century Gothic" w:eastAsia="Times New Roman" w:hAnsi="Century Gothic" w:cs="Arial"/>
          <w:b/>
        </w:rPr>
        <w:t>Višňovská</w:t>
      </w:r>
      <w:proofErr w:type="spellEnd"/>
      <w:r w:rsidR="00844533">
        <w:rPr>
          <w:rFonts w:ascii="Century Gothic" w:eastAsia="Times New Roman" w:hAnsi="Century Gothic" w:cs="Arial"/>
          <w:b/>
        </w:rPr>
        <w:t xml:space="preserve"> </w:t>
      </w:r>
      <w:r w:rsidR="00844533" w:rsidRPr="00844533">
        <w:rPr>
          <w:rFonts w:ascii="Century Gothic" w:eastAsia="Times New Roman" w:hAnsi="Century Gothic" w:cs="Arial"/>
        </w:rPr>
        <w:t xml:space="preserve">a </w:t>
      </w:r>
      <w:r w:rsidR="00E93306">
        <w:rPr>
          <w:rFonts w:ascii="Century Gothic" w:eastAsia="Times New Roman" w:hAnsi="Century Gothic" w:cs="Arial"/>
        </w:rPr>
        <w:t>doplňuje</w:t>
      </w:r>
      <w:r w:rsidR="00844533">
        <w:rPr>
          <w:rFonts w:ascii="Century Gothic" w:eastAsia="Times New Roman" w:hAnsi="Century Gothic" w:cs="Arial"/>
          <w:b/>
        </w:rPr>
        <w:t xml:space="preserve">: </w:t>
      </w:r>
      <w:r w:rsidR="00844533" w:rsidRPr="009754BB">
        <w:rPr>
          <w:rFonts w:ascii="Century Gothic" w:eastAsia="Times New Roman" w:hAnsi="Century Gothic" w:cs="Tahoma"/>
        </w:rPr>
        <w:t>„</w:t>
      </w:r>
      <w:r w:rsidR="00844533">
        <w:rPr>
          <w:rFonts w:ascii="Century Gothic" w:eastAsia="Times New Roman" w:hAnsi="Century Gothic" w:cs="Tahoma"/>
        </w:rPr>
        <w:t>Pravidlem se stává, že jsou současní zájemci stále náročnější a jejich požadavky na kvalitu, komfort a parametry nemovitosti rostou.</w:t>
      </w:r>
      <w:r w:rsidR="00C240BA">
        <w:rPr>
          <w:rFonts w:ascii="Century Gothic" w:eastAsia="Times New Roman" w:hAnsi="Century Gothic" w:cs="Tahoma"/>
        </w:rPr>
        <w:t xml:space="preserve"> Mnoho exkluzivních</w:t>
      </w:r>
      <w:r w:rsidR="001E3872">
        <w:rPr>
          <w:rFonts w:ascii="Century Gothic" w:eastAsia="Times New Roman" w:hAnsi="Century Gothic" w:cs="Tahoma"/>
        </w:rPr>
        <w:t xml:space="preserve"> </w:t>
      </w:r>
      <w:r w:rsidR="00C240BA">
        <w:rPr>
          <w:rFonts w:ascii="Century Gothic" w:eastAsia="Times New Roman" w:hAnsi="Century Gothic" w:cs="Tahoma"/>
        </w:rPr>
        <w:t>bytů je jim proto šito přímo na míru.</w:t>
      </w:r>
      <w:r w:rsidR="00844533" w:rsidRPr="00AD713F">
        <w:rPr>
          <w:rFonts w:ascii="Century Gothic" w:eastAsia="Times New Roman" w:hAnsi="Century Gothic" w:cs="Arial"/>
        </w:rPr>
        <w:t>“</w:t>
      </w:r>
    </w:p>
    <w:p w14:paraId="29279B48" w14:textId="77777777" w:rsidR="00A8617B" w:rsidRDefault="00A8617B" w:rsidP="00A8617B">
      <w:pPr>
        <w:spacing w:after="0" w:line="320" w:lineRule="atLeast"/>
        <w:ind w:left="-567" w:right="-567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6F7CD16D" w14:textId="1B708C3A" w:rsidR="00A8617B" w:rsidRDefault="00A8617B" w:rsidP="00A8617B">
      <w:pPr>
        <w:spacing w:after="0" w:line="320" w:lineRule="atLeast"/>
        <w:ind w:left="-567" w:right="-567"/>
        <w:jc w:val="both"/>
        <w:rPr>
          <w:rFonts w:ascii="Century Gothic" w:hAnsi="Century Gothic" w:cs="Tahoma"/>
          <w:b/>
          <w:noProof/>
          <w:color w:val="887634"/>
          <w:sz w:val="24"/>
          <w:szCs w:val="24"/>
          <w:lang w:eastAsia="cs-CZ"/>
        </w:rPr>
      </w:pPr>
    </w:p>
    <w:p w14:paraId="47C047BD" w14:textId="77777777" w:rsidR="00EC6335" w:rsidRDefault="00EC6335" w:rsidP="00A8617B">
      <w:pPr>
        <w:spacing w:after="0" w:line="320" w:lineRule="atLeast"/>
        <w:ind w:left="-567" w:right="-567"/>
        <w:jc w:val="both"/>
        <w:rPr>
          <w:rFonts w:ascii="Century Gothic" w:hAnsi="Century Gothic" w:cs="Tahoma"/>
          <w:b/>
          <w:noProof/>
          <w:color w:val="887634"/>
          <w:sz w:val="24"/>
          <w:szCs w:val="24"/>
          <w:lang w:eastAsia="cs-CZ"/>
        </w:rPr>
      </w:pPr>
    </w:p>
    <w:p w14:paraId="6F5DF1CC" w14:textId="77777777" w:rsidR="00EC6335" w:rsidRDefault="00EC6335" w:rsidP="00A8617B">
      <w:pPr>
        <w:spacing w:after="0" w:line="320" w:lineRule="atLeast"/>
        <w:ind w:left="-567" w:right="-567"/>
        <w:jc w:val="both"/>
        <w:rPr>
          <w:rFonts w:ascii="Century Gothic" w:hAnsi="Century Gothic" w:cs="Tahoma"/>
          <w:b/>
          <w:noProof/>
          <w:color w:val="887634"/>
          <w:sz w:val="24"/>
          <w:szCs w:val="24"/>
          <w:lang w:eastAsia="cs-CZ"/>
        </w:rPr>
      </w:pPr>
    </w:p>
    <w:p w14:paraId="0212186C" w14:textId="088023C0" w:rsidR="00EC6335" w:rsidRDefault="00EC6335" w:rsidP="00EC6335">
      <w:pPr>
        <w:spacing w:after="0" w:line="320" w:lineRule="atLeast"/>
        <w:ind w:left="-567" w:right="-567"/>
        <w:jc w:val="center"/>
        <w:rPr>
          <w:rFonts w:ascii="Century Gothic" w:hAnsi="Century Gothic" w:cs="Tahoma"/>
          <w:b/>
          <w:color w:val="887634"/>
          <w:sz w:val="24"/>
          <w:szCs w:val="24"/>
        </w:rPr>
      </w:pPr>
      <w:r>
        <w:rPr>
          <w:rFonts w:ascii="Century Gothic" w:hAnsi="Century Gothic" w:cs="Tahoma"/>
          <w:b/>
          <w:noProof/>
          <w:color w:val="887634"/>
          <w:sz w:val="24"/>
          <w:szCs w:val="24"/>
          <w:lang w:eastAsia="cs-CZ"/>
        </w:rPr>
        <w:lastRenderedPageBreak/>
        <w:drawing>
          <wp:inline distT="0" distB="0" distL="0" distR="0" wp14:anchorId="2B9646AF" wp14:editId="6638CDBD">
            <wp:extent cx="5931546" cy="79152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621" cy="791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B2C40" w14:textId="77777777" w:rsidR="00A8617B" w:rsidRDefault="00A8617B" w:rsidP="00A8617B">
      <w:pPr>
        <w:spacing w:after="0" w:line="320" w:lineRule="atLeast"/>
        <w:ind w:left="-567" w:right="-567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062A0041" w14:textId="77777777" w:rsidR="00EC6335" w:rsidRDefault="00EC6335" w:rsidP="009001E7">
      <w:pPr>
        <w:spacing w:after="0" w:line="320" w:lineRule="atLeast"/>
        <w:ind w:right="-567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482680DA" w14:textId="2F60A1B0" w:rsidR="00F26928" w:rsidRPr="004C6FD4" w:rsidRDefault="00F26928" w:rsidP="00A8617B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Tahoma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 xml:space="preserve">O </w:t>
      </w:r>
      <w:proofErr w:type="spellStart"/>
      <w:r>
        <w:rPr>
          <w:rFonts w:ascii="Century Gothic" w:hAnsi="Century Gothic" w:cs="Tahoma"/>
          <w:b/>
          <w:color w:val="887634"/>
          <w:sz w:val="24"/>
          <w:szCs w:val="24"/>
        </w:rPr>
        <w:t>Lexxus</w:t>
      </w:r>
      <w:proofErr w:type="spellEnd"/>
      <w:r>
        <w:rPr>
          <w:rFonts w:ascii="Century Gothic" w:hAnsi="Century Gothic" w:cs="Tahoma"/>
          <w:b/>
          <w:color w:val="887634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color w:val="887634"/>
          <w:sz w:val="24"/>
          <w:szCs w:val="24"/>
        </w:rPr>
        <w:t>Norton</w:t>
      </w:r>
      <w:proofErr w:type="spellEnd"/>
    </w:p>
    <w:p w14:paraId="082A15BF" w14:textId="20FF8568" w:rsidR="00F26928" w:rsidRDefault="00F26928" w:rsidP="00F26928">
      <w:pPr>
        <w:spacing w:after="0" w:line="320" w:lineRule="atLeast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Značka </w:t>
      </w:r>
      <w:proofErr w:type="spellStart"/>
      <w:r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Norton</w:t>
      </w:r>
      <w:proofErr w:type="spellEnd"/>
      <w:r w:rsidR="00C27329">
        <w:rPr>
          <w:rFonts w:ascii="Century Gothic" w:hAnsi="Century Gothic" w:cs="Tahoma"/>
        </w:rPr>
        <w:t xml:space="preserve"> </w:t>
      </w:r>
      <w:r>
        <w:rPr>
          <w:rFonts w:ascii="Century Gothic" w:hAnsi="Century Gothic" w:cs="Tahoma"/>
        </w:rPr>
        <w:t>patří</w:t>
      </w:r>
      <w:r w:rsidR="00C27329">
        <w:rPr>
          <w:rFonts w:ascii="Century Gothic" w:hAnsi="Century Gothic" w:cs="Tahoma"/>
        </w:rPr>
        <w:t xml:space="preserve"> společně se značnou LEXXUS</w:t>
      </w:r>
      <w:r>
        <w:rPr>
          <w:rFonts w:ascii="Century Gothic" w:hAnsi="Century Gothic" w:cs="Tahoma"/>
        </w:rPr>
        <w:t xml:space="preserve"> do skupiny LEXXUS Group a specializuje se pouze na luxusní nemovitosti k prodeji i k pronájmu v nejžádanějších lokalitách Prahy a blízkého okolí. </w:t>
      </w:r>
    </w:p>
    <w:p w14:paraId="5190FF1A" w14:textId="77777777" w:rsidR="00F26928" w:rsidRDefault="00F26928" w:rsidP="00F26928">
      <w:pPr>
        <w:spacing w:after="0" w:line="320" w:lineRule="atLeast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t xml:space="preserve">Realitní agenti </w:t>
      </w:r>
      <w:proofErr w:type="spellStart"/>
      <w:r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 xml:space="preserve"> kladou maximální důraz na nejlepší servis jak pro developery, tak pro konečné uživatele. Služby </w:t>
      </w:r>
      <w:proofErr w:type="spellStart"/>
      <w:r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 xml:space="preserve"> jsou postavené na individuálním přístupu ke každému zákazníkovi vždy s přihlédnutím k jeho požadavkům. Při realizaci nabízí maximální podporu a zkušenosti čerpající z historie mateřské realitní společnosti LEXXUS, která působí na pražském realitním trhu již od 90. let. A od roku 2017 je členem Asociace pro rozvoj trhu nemovitostí (ARTN).</w:t>
      </w:r>
    </w:p>
    <w:p w14:paraId="4297638F" w14:textId="77777777" w:rsidR="00F26928" w:rsidRDefault="00F26928" w:rsidP="00F26928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44D339FE" w14:textId="77777777" w:rsidR="00F26928" w:rsidRPr="00AC34CD" w:rsidRDefault="00F26928" w:rsidP="00F26928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>Kontakt</w:t>
      </w:r>
    </w:p>
    <w:p w14:paraId="7664A554" w14:textId="77777777" w:rsidR="00F26928" w:rsidRDefault="00F26928" w:rsidP="00F26928">
      <w:pPr>
        <w:pStyle w:val="Bezmezer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10" w:history="1">
        <w:r>
          <w:rPr>
            <w:rStyle w:val="Hypertextovodkaz"/>
            <w:rFonts w:ascii="Century Gothic" w:hAnsi="Century Gothic"/>
          </w:rPr>
          <w:t>pr@lexxusnorton.cz</w:t>
        </w:r>
      </w:hyperlink>
    </w:p>
    <w:p w14:paraId="0E27827A" w14:textId="77777777" w:rsidR="00F26928" w:rsidRDefault="00F26928" w:rsidP="00F26928">
      <w:pPr>
        <w:pStyle w:val="Bezmezer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+420 221 111 900 </w:t>
      </w:r>
    </w:p>
    <w:p w14:paraId="1CC538A5" w14:textId="77777777" w:rsidR="00F26928" w:rsidRDefault="00CB59C3" w:rsidP="00F26928">
      <w:pPr>
        <w:pStyle w:val="Bezmezer"/>
        <w:ind w:left="-567" w:right="-709"/>
        <w:rPr>
          <w:rStyle w:val="Hypertextovodkaz"/>
          <w:rFonts w:ascii="Century Gothic" w:hAnsi="Century Gothic"/>
          <w:color w:val="887634"/>
        </w:rPr>
      </w:pPr>
      <w:hyperlink r:id="rId11" w:history="1">
        <w:r w:rsidR="00F26928">
          <w:rPr>
            <w:rStyle w:val="Hypertextovodkaz"/>
            <w:rFonts w:ascii="Century Gothic" w:hAnsi="Century Gothic"/>
          </w:rPr>
          <w:t>www.lexxusnorton.cz</w:t>
        </w:r>
      </w:hyperlink>
    </w:p>
    <w:p w14:paraId="551ADFDE" w14:textId="77777777" w:rsidR="00D92B09" w:rsidRDefault="00D92B09" w:rsidP="006C65CF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Arial"/>
        </w:rPr>
      </w:pPr>
    </w:p>
    <w:p w14:paraId="6FF5636F" w14:textId="77777777" w:rsidR="00D46098" w:rsidRDefault="00D46098" w:rsidP="00D4609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>
        <w:rPr>
          <w:rFonts w:ascii="Century Gothic" w:hAnsi="Century Gothic" w:cs="Tahoma"/>
          <w:b/>
          <w:color w:val="002060"/>
        </w:rPr>
        <w:t>Crest</w:t>
      </w:r>
      <w:proofErr w:type="spellEnd"/>
      <w:r>
        <w:rPr>
          <w:rFonts w:ascii="Century Gothic" w:hAnsi="Century Gothic" w:cs="Tahoma"/>
          <w:b/>
          <w:color w:val="002060"/>
        </w:rPr>
        <w:t xml:space="preserve"> Communications</w:t>
      </w:r>
    </w:p>
    <w:p w14:paraId="33F49E2C" w14:textId="77777777" w:rsidR="00D46098" w:rsidRDefault="00D46098" w:rsidP="00D4609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4A64D9C5" w14:textId="77777777" w:rsidR="00D46098" w:rsidRDefault="00D46098" w:rsidP="00D4609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Marcela Kukaňová</w:t>
      </w:r>
    </w:p>
    <w:p w14:paraId="1A0347F7" w14:textId="77777777" w:rsidR="00D46098" w:rsidRDefault="00D46098" w:rsidP="00D4609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2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0AEC89B4" w14:textId="77777777" w:rsidR="00D46098" w:rsidRDefault="00D46098" w:rsidP="00D4609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+420 731 613 618</w:t>
      </w:r>
    </w:p>
    <w:p w14:paraId="2F6B6FFF" w14:textId="77777777" w:rsidR="00D46098" w:rsidRDefault="00D46098" w:rsidP="00D46098">
      <w:pPr>
        <w:pStyle w:val="Bezmezer"/>
        <w:ind w:left="-567" w:right="-709"/>
        <w:rPr>
          <w:rFonts w:ascii="Century Gothic" w:hAnsi="Century Gothic"/>
          <w:b/>
        </w:rPr>
      </w:pPr>
    </w:p>
    <w:p w14:paraId="47B4468E" w14:textId="77777777" w:rsidR="00D46098" w:rsidRDefault="00D46098" w:rsidP="00D4609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Marie Cimplová</w:t>
      </w:r>
    </w:p>
    <w:p w14:paraId="6A0382E9" w14:textId="77777777" w:rsidR="00D46098" w:rsidRDefault="00D46098" w:rsidP="00D4609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3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23C20FDE" w14:textId="77777777" w:rsidR="00D46098" w:rsidRDefault="00D46098" w:rsidP="00D4609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+420 731 613 602</w:t>
      </w:r>
    </w:p>
    <w:p w14:paraId="66E78EB7" w14:textId="77777777" w:rsidR="00D46098" w:rsidRDefault="00D46098" w:rsidP="00D46098">
      <w:pPr>
        <w:pStyle w:val="Bezmezer"/>
        <w:ind w:left="-567" w:right="-709"/>
        <w:rPr>
          <w:rFonts w:ascii="Century Gothic" w:hAnsi="Century Gothic" w:cs="Tahoma"/>
        </w:rPr>
      </w:pPr>
    </w:p>
    <w:p w14:paraId="5C5ADEDE" w14:textId="77777777" w:rsidR="00D46098" w:rsidRDefault="00D46098" w:rsidP="00D46098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 w:cs="Tahoma"/>
        </w:rPr>
        <w:t xml:space="preserve">Tiskové středisko: </w:t>
      </w:r>
      <w:hyperlink r:id="rId14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08D1B40F" w14:textId="77777777" w:rsidR="00D46098" w:rsidRDefault="00D46098" w:rsidP="006C65CF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Arial"/>
        </w:rPr>
      </w:pPr>
    </w:p>
    <w:sectPr w:rsidR="00D46098" w:rsidSect="0072141F">
      <w:headerReference w:type="default" r:id="rId15"/>
      <w:footerReference w:type="default" r:id="rId16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FCF06" w14:textId="77777777" w:rsidR="00432C6C" w:rsidRDefault="00432C6C" w:rsidP="002E72DB">
      <w:pPr>
        <w:spacing w:after="0" w:line="240" w:lineRule="auto"/>
      </w:pPr>
      <w:r>
        <w:separator/>
      </w:r>
    </w:p>
  </w:endnote>
  <w:endnote w:type="continuationSeparator" w:id="0">
    <w:p w14:paraId="3CBF7608" w14:textId="77777777" w:rsidR="00432C6C" w:rsidRDefault="00432C6C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54716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19F1224" wp14:editId="5E87CC36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4344D" w14:textId="77777777" w:rsidR="00432C6C" w:rsidRDefault="00432C6C" w:rsidP="002E72DB">
      <w:pPr>
        <w:spacing w:after="0" w:line="240" w:lineRule="auto"/>
      </w:pPr>
      <w:r>
        <w:separator/>
      </w:r>
    </w:p>
  </w:footnote>
  <w:footnote w:type="continuationSeparator" w:id="0">
    <w:p w14:paraId="1A437254" w14:textId="77777777" w:rsidR="00432C6C" w:rsidRDefault="00432C6C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64CC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FDEA40E" wp14:editId="6B485984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03D9F"/>
    <w:rsid w:val="000163F0"/>
    <w:rsid w:val="00021CBB"/>
    <w:rsid w:val="00055A0C"/>
    <w:rsid w:val="00063970"/>
    <w:rsid w:val="00065EB1"/>
    <w:rsid w:val="0008451E"/>
    <w:rsid w:val="000854B8"/>
    <w:rsid w:val="00096F52"/>
    <w:rsid w:val="00097E0B"/>
    <w:rsid w:val="000C6662"/>
    <w:rsid w:val="000D4CEA"/>
    <w:rsid w:val="000E7B45"/>
    <w:rsid w:val="000F05A2"/>
    <w:rsid w:val="00143CDB"/>
    <w:rsid w:val="00153850"/>
    <w:rsid w:val="0016291C"/>
    <w:rsid w:val="00167853"/>
    <w:rsid w:val="00171998"/>
    <w:rsid w:val="00190774"/>
    <w:rsid w:val="00191268"/>
    <w:rsid w:val="001A0D17"/>
    <w:rsid w:val="001A36E8"/>
    <w:rsid w:val="001A7D9D"/>
    <w:rsid w:val="001B020F"/>
    <w:rsid w:val="001C2D58"/>
    <w:rsid w:val="001D0927"/>
    <w:rsid w:val="001D0FF8"/>
    <w:rsid w:val="001D3A01"/>
    <w:rsid w:val="001E0C5D"/>
    <w:rsid w:val="001E3872"/>
    <w:rsid w:val="001E6AC7"/>
    <w:rsid w:val="001F33B5"/>
    <w:rsid w:val="001F3986"/>
    <w:rsid w:val="00221DEF"/>
    <w:rsid w:val="00237F13"/>
    <w:rsid w:val="00242084"/>
    <w:rsid w:val="00244457"/>
    <w:rsid w:val="002525B6"/>
    <w:rsid w:val="00254BCC"/>
    <w:rsid w:val="00273ACC"/>
    <w:rsid w:val="002772B3"/>
    <w:rsid w:val="0028485C"/>
    <w:rsid w:val="0029112F"/>
    <w:rsid w:val="002A379E"/>
    <w:rsid w:val="002B31C2"/>
    <w:rsid w:val="002C42B1"/>
    <w:rsid w:val="002C52D9"/>
    <w:rsid w:val="002D7E35"/>
    <w:rsid w:val="002E72DB"/>
    <w:rsid w:val="00314DB8"/>
    <w:rsid w:val="00353163"/>
    <w:rsid w:val="003901C7"/>
    <w:rsid w:val="003B0B78"/>
    <w:rsid w:val="003B15C5"/>
    <w:rsid w:val="003B3C76"/>
    <w:rsid w:val="003E0872"/>
    <w:rsid w:val="00405761"/>
    <w:rsid w:val="00414A26"/>
    <w:rsid w:val="00421629"/>
    <w:rsid w:val="00427697"/>
    <w:rsid w:val="00432C6C"/>
    <w:rsid w:val="004513E2"/>
    <w:rsid w:val="00480965"/>
    <w:rsid w:val="0049379B"/>
    <w:rsid w:val="004A0F76"/>
    <w:rsid w:val="004A6868"/>
    <w:rsid w:val="004A6E3A"/>
    <w:rsid w:val="004B1D09"/>
    <w:rsid w:val="004B63EF"/>
    <w:rsid w:val="004E4A77"/>
    <w:rsid w:val="004E52F3"/>
    <w:rsid w:val="005401BC"/>
    <w:rsid w:val="00550AAB"/>
    <w:rsid w:val="005A2623"/>
    <w:rsid w:val="005B42B5"/>
    <w:rsid w:val="005C0A0F"/>
    <w:rsid w:val="005C11C7"/>
    <w:rsid w:val="005F18EE"/>
    <w:rsid w:val="00610C55"/>
    <w:rsid w:val="0061278E"/>
    <w:rsid w:val="00641AFE"/>
    <w:rsid w:val="00641FF0"/>
    <w:rsid w:val="00643B4D"/>
    <w:rsid w:val="00644CDB"/>
    <w:rsid w:val="0066726D"/>
    <w:rsid w:val="006867BE"/>
    <w:rsid w:val="00693D57"/>
    <w:rsid w:val="0069567E"/>
    <w:rsid w:val="006C414A"/>
    <w:rsid w:val="006C65CF"/>
    <w:rsid w:val="006E033C"/>
    <w:rsid w:val="00710B58"/>
    <w:rsid w:val="00712FE1"/>
    <w:rsid w:val="0072141F"/>
    <w:rsid w:val="00740314"/>
    <w:rsid w:val="00744A72"/>
    <w:rsid w:val="00744DDE"/>
    <w:rsid w:val="0074767C"/>
    <w:rsid w:val="00764CB7"/>
    <w:rsid w:val="00772443"/>
    <w:rsid w:val="00775485"/>
    <w:rsid w:val="0077737D"/>
    <w:rsid w:val="00782B7B"/>
    <w:rsid w:val="00784A2C"/>
    <w:rsid w:val="007941CA"/>
    <w:rsid w:val="007A6CE5"/>
    <w:rsid w:val="007B16BA"/>
    <w:rsid w:val="007C6763"/>
    <w:rsid w:val="007D30D8"/>
    <w:rsid w:val="007D4C51"/>
    <w:rsid w:val="007F518D"/>
    <w:rsid w:val="00803667"/>
    <w:rsid w:val="00811BE6"/>
    <w:rsid w:val="00813319"/>
    <w:rsid w:val="00817ED6"/>
    <w:rsid w:val="008301EB"/>
    <w:rsid w:val="00844533"/>
    <w:rsid w:val="00851E06"/>
    <w:rsid w:val="00852366"/>
    <w:rsid w:val="00854412"/>
    <w:rsid w:val="008617FF"/>
    <w:rsid w:val="008670F6"/>
    <w:rsid w:val="00871C7D"/>
    <w:rsid w:val="00874552"/>
    <w:rsid w:val="00886CB6"/>
    <w:rsid w:val="008B08A6"/>
    <w:rsid w:val="008B74EC"/>
    <w:rsid w:val="008D5DF9"/>
    <w:rsid w:val="009001E7"/>
    <w:rsid w:val="00913CF5"/>
    <w:rsid w:val="0091523D"/>
    <w:rsid w:val="0092189F"/>
    <w:rsid w:val="00925731"/>
    <w:rsid w:val="00930977"/>
    <w:rsid w:val="0093230C"/>
    <w:rsid w:val="00945E7A"/>
    <w:rsid w:val="009461AE"/>
    <w:rsid w:val="009511CD"/>
    <w:rsid w:val="00954808"/>
    <w:rsid w:val="009736E0"/>
    <w:rsid w:val="009754BB"/>
    <w:rsid w:val="009761F8"/>
    <w:rsid w:val="00984DFE"/>
    <w:rsid w:val="00985BE6"/>
    <w:rsid w:val="0099511C"/>
    <w:rsid w:val="0099567E"/>
    <w:rsid w:val="009A420A"/>
    <w:rsid w:val="009A5A89"/>
    <w:rsid w:val="009B03DE"/>
    <w:rsid w:val="009B34BE"/>
    <w:rsid w:val="009C3EC4"/>
    <w:rsid w:val="009D595E"/>
    <w:rsid w:val="009E6DBD"/>
    <w:rsid w:val="009E7600"/>
    <w:rsid w:val="009E7F04"/>
    <w:rsid w:val="009F1B55"/>
    <w:rsid w:val="00A00549"/>
    <w:rsid w:val="00A005BC"/>
    <w:rsid w:val="00A00D33"/>
    <w:rsid w:val="00A13C56"/>
    <w:rsid w:val="00A23BA9"/>
    <w:rsid w:val="00A3654B"/>
    <w:rsid w:val="00A55CE2"/>
    <w:rsid w:val="00A63EED"/>
    <w:rsid w:val="00A72E3F"/>
    <w:rsid w:val="00A8144A"/>
    <w:rsid w:val="00A8617B"/>
    <w:rsid w:val="00AA0463"/>
    <w:rsid w:val="00AB067E"/>
    <w:rsid w:val="00AB0A8F"/>
    <w:rsid w:val="00AB505A"/>
    <w:rsid w:val="00AB5C5A"/>
    <w:rsid w:val="00AB6695"/>
    <w:rsid w:val="00AC01BD"/>
    <w:rsid w:val="00AD4F9E"/>
    <w:rsid w:val="00AE6D73"/>
    <w:rsid w:val="00AF156D"/>
    <w:rsid w:val="00AF5EB9"/>
    <w:rsid w:val="00B12606"/>
    <w:rsid w:val="00B35CE4"/>
    <w:rsid w:val="00B4336A"/>
    <w:rsid w:val="00B66703"/>
    <w:rsid w:val="00B679AC"/>
    <w:rsid w:val="00B84FDC"/>
    <w:rsid w:val="00B923ED"/>
    <w:rsid w:val="00BB0C32"/>
    <w:rsid w:val="00BC2D90"/>
    <w:rsid w:val="00C12EC9"/>
    <w:rsid w:val="00C166EC"/>
    <w:rsid w:val="00C240BA"/>
    <w:rsid w:val="00C27329"/>
    <w:rsid w:val="00C30FE9"/>
    <w:rsid w:val="00C5538F"/>
    <w:rsid w:val="00C6181E"/>
    <w:rsid w:val="00C67BE0"/>
    <w:rsid w:val="00C715DC"/>
    <w:rsid w:val="00CA2BF7"/>
    <w:rsid w:val="00CB59C3"/>
    <w:rsid w:val="00CC527E"/>
    <w:rsid w:val="00CE5125"/>
    <w:rsid w:val="00D040A1"/>
    <w:rsid w:val="00D04197"/>
    <w:rsid w:val="00D44D1D"/>
    <w:rsid w:val="00D46098"/>
    <w:rsid w:val="00D53810"/>
    <w:rsid w:val="00D567D2"/>
    <w:rsid w:val="00D75B23"/>
    <w:rsid w:val="00D83946"/>
    <w:rsid w:val="00D852FB"/>
    <w:rsid w:val="00D92B09"/>
    <w:rsid w:val="00D9367F"/>
    <w:rsid w:val="00D940D9"/>
    <w:rsid w:val="00DA27A1"/>
    <w:rsid w:val="00DB7A42"/>
    <w:rsid w:val="00DB7DAF"/>
    <w:rsid w:val="00DF7F46"/>
    <w:rsid w:val="00E0130C"/>
    <w:rsid w:val="00E131B1"/>
    <w:rsid w:val="00E336AC"/>
    <w:rsid w:val="00E9071B"/>
    <w:rsid w:val="00E93306"/>
    <w:rsid w:val="00EA07FF"/>
    <w:rsid w:val="00EB504D"/>
    <w:rsid w:val="00EC205D"/>
    <w:rsid w:val="00EC6335"/>
    <w:rsid w:val="00ED2C5A"/>
    <w:rsid w:val="00EF5604"/>
    <w:rsid w:val="00F20E1C"/>
    <w:rsid w:val="00F22F22"/>
    <w:rsid w:val="00F23B61"/>
    <w:rsid w:val="00F26928"/>
    <w:rsid w:val="00F42505"/>
    <w:rsid w:val="00F52515"/>
    <w:rsid w:val="00F65C36"/>
    <w:rsid w:val="00F67BDA"/>
    <w:rsid w:val="00FA02A1"/>
    <w:rsid w:val="00FC4EA6"/>
    <w:rsid w:val="00FD1FA6"/>
    <w:rsid w:val="00F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B22B5B"/>
  <w15:docId w15:val="{DD19EC08-AD92-41B4-B9DF-E6A37406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189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9218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styleId="Siln">
    <w:name w:val="Strong"/>
    <w:basedOn w:val="Standardnpsmoodstavce"/>
    <w:uiPriority w:val="22"/>
    <w:qFormat/>
    <w:rsid w:val="00B84FD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365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65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65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6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654B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D4F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rie.cimplova@crestcom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rka.vondrackova@crestcom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exxusnorton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r@lexxusnorton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129C-295E-42FC-A56D-FB391050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864</Words>
  <Characters>5100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Smetana</dc:creator>
  <cp:lastModifiedBy>Marie Cimplová</cp:lastModifiedBy>
  <cp:revision>7</cp:revision>
  <cp:lastPrinted>2017-05-17T14:06:00Z</cp:lastPrinted>
  <dcterms:created xsi:type="dcterms:W3CDTF">2017-05-17T14:02:00Z</dcterms:created>
  <dcterms:modified xsi:type="dcterms:W3CDTF">2017-05-18T07:49:00Z</dcterms:modified>
</cp:coreProperties>
</file>